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33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37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front-matte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Лабараторная работа № 10</w:t>
      </w:r>
      <w:r>
        <w:t xml:space="preserve">”</w:t>
      </w:r>
      <w:r>
        <w:t xml:space="preserve"> </w:t>
      </w:r>
      <w:r>
        <w:t xml:space="preserve">subtitle: Дисциплина: Архитектура компьютера”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Никулина Ксения Ильинична</w:t>
      </w:r>
      <w:r>
        <w:t xml:space="preserve">”</w:t>
      </w:r>
    </w:p>
    <w:bookmarkEnd w:id="20"/>
    <w:bookmarkStart w:id="21" w:name="generic-otion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Generic otions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</w:p>
    <w:bookmarkEnd w:id="21"/>
    <w:bookmarkStart w:id="22" w:name="bibliography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Bibliography</w:t>
      </w:r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bookmarkEnd w:id="22"/>
    <w:bookmarkStart w:id="25" w:name="pdf-output-format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t xml:space="preserve">Pdf output format</w:t>
      </w:r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## I18n polyglossia</w:t>
      </w:r>
      <w:r>
        <w:t xml:space="preserve"> </w:t>
      </w: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  <w:r>
        <w:t xml:space="preserve"> </w:t>
      </w:r>
      <w:r>
        <w:t xml:space="preserve">- spelling=modern</w:t>
      </w:r>
      <w:r>
        <w:t xml:space="preserve"> </w:t>
      </w:r>
      <w:r>
        <w:t xml:space="preserve">- 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  <w:r>
        <w:t xml:space="preserve"> </w:t>
      </w:r>
      <w:r>
        <w:t xml:space="preserve">## I18n babel</w:t>
      </w:r>
      <w:r>
        <w:t xml:space="preserve"> </w:t>
      </w:r>
      <w:r>
        <w:t xml:space="preserve">babel-lang: russian</w:t>
      </w:r>
      <w:r>
        <w:t xml:space="preserve"> </w:t>
      </w:r>
      <w:r>
        <w:t xml:space="preserve">babel-otherlangs: english</w:t>
      </w:r>
      <w:r>
        <w:t xml:space="preserve"> </w:t>
      </w:r>
      <w:r>
        <w:t xml:space="preserve">## Fonts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  <w:r>
        <w:t xml:space="preserve"> </w:t>
      </w:r>
      <w:r>
        <w:t xml:space="preserve">## Biblatex</w:t>
      </w:r>
      <w:r>
        <w:t xml:space="preserve"> </w:t>
      </w:r>
      <w:r>
        <w:t xml:space="preserve">biblatex: true</w:t>
      </w:r>
      <w:r>
        <w:t xml:space="preserve"> </w:t>
      </w:r>
      <w:r>
        <w:t xml:space="preserve">biblio-style:</w:t>
      </w:r>
      <w:r>
        <w:t xml:space="preserve"> </w:t>
      </w:r>
      <w:r>
        <w:t xml:space="preserve">“</w:t>
      </w:r>
      <w:r>
        <w:t xml:space="preserve">gost-numeric</w:t>
      </w:r>
      <w:r>
        <w:t xml:space="preserve">”</w:t>
      </w:r>
      <w:r>
        <w:t xml:space="preserve"> </w:t>
      </w:r>
      <w:r>
        <w:t xml:space="preserve">biblatexoptions:</w:t>
      </w:r>
      <w:r>
        <w:t xml:space="preserve"> </w:t>
      </w:r>
      <w:r>
        <w:t xml:space="preserve">- parentracker=true</w:t>
      </w:r>
      <w:r>
        <w:t xml:space="preserve"> </w:t>
      </w:r>
      <w:r>
        <w:t xml:space="preserve">- backend=biber</w:t>
      </w:r>
      <w:r>
        <w:t xml:space="preserve"> </w:t>
      </w:r>
      <w:r>
        <w:t xml:space="preserve">- hyperref=auto</w:t>
      </w:r>
      <w:r>
        <w:t xml:space="preserve"> </w:t>
      </w:r>
      <w:r>
        <w:t xml:space="preserve">- language=auto</w:t>
      </w:r>
      <w:r>
        <w:t xml:space="preserve"> </w:t>
      </w:r>
      <w:r>
        <w:t xml:space="preserve">- autolang=other*</w:t>
      </w:r>
      <w:r>
        <w:t xml:space="preserve"> </w:t>
      </w:r>
      <w:r>
        <w:t xml:space="preserve">- citestyle=gost-numeric</w:t>
      </w:r>
      <w:r>
        <w:t xml:space="preserve"> </w:t>
      </w:r>
      <w:r>
        <w:t xml:space="preserve">## Pandoc-crossref LaTeX customization</w:t>
      </w:r>
      <w:r>
        <w:t xml:space="preserve"> </w:t>
      </w:r>
      <w:r>
        <w:t xml:space="preserve">figureTitle:</w:t>
      </w:r>
      <w:r>
        <w:t xml:space="preserve"> </w:t>
      </w:r>
      <w:r>
        <w:t xml:space="preserve">“</w:t>
      </w:r>
      <w:r>
        <w:t xml:space="preserve">Рис.</w:t>
      </w:r>
      <w:r>
        <w:t xml:space="preserve">”</w:t>
      </w:r>
      <w:r>
        <w:t xml:space="preserve"> </w:t>
      </w:r>
      <w:r>
        <w:t xml:space="preserve">listingTitle:</w:t>
      </w:r>
      <w:r>
        <w:t xml:space="preserve"> </w:t>
      </w:r>
      <w:r>
        <w:t xml:space="preserve">“</w:t>
      </w:r>
      <w:r>
        <w:t xml:space="preserve">Листинг</w:t>
      </w:r>
      <w:r>
        <w:t xml:space="preserve">”</w:t>
      </w:r>
      <w:r>
        <w:t xml:space="preserve"> </w:t>
      </w:r>
      <w:r>
        <w:t xml:space="preserve">lofTitle:</w:t>
      </w:r>
      <w:r>
        <w:t xml:space="preserve"> </w:t>
      </w:r>
      <w:r>
        <w:t xml:space="preserve">“</w:t>
      </w:r>
      <w:r>
        <w:t xml:space="preserve">Список иллюстраций</w:t>
      </w:r>
      <w:r>
        <w:t xml:space="preserve">”</w:t>
      </w:r>
      <w:r>
        <w:t xml:space="preserve"> </w:t>
      </w:r>
      <w:r>
        <w:t xml:space="preserve">lotTitle:</w:t>
      </w:r>
      <w:r>
        <w:t xml:space="preserve"> </w:t>
      </w:r>
      <w:r>
        <w:t xml:space="preserve">“</w:t>
      </w:r>
      <w:r>
        <w:t xml:space="preserve">Список таблиц</w:t>
      </w:r>
      <w:r>
        <w:t xml:space="preserve">”</w:t>
      </w:r>
      <w:r>
        <w:t xml:space="preserve"> </w:t>
      </w:r>
      <w:r>
        <w:t xml:space="preserve">lolTitle:</w:t>
      </w:r>
      <w:r>
        <w:t xml:space="preserve"> </w:t>
      </w:r>
      <w:r>
        <w:t xml:space="preserve">“</w:t>
      </w:r>
      <w:r>
        <w:t xml:space="preserve">Листинги</w:t>
      </w:r>
      <w:r>
        <w:t xml:space="preserve">”</w:t>
      </w:r>
      <w:r>
        <w:t xml:space="preserve"> </w:t>
      </w:r>
      <w:r>
        <w:t xml:space="preserve">## Misc options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numPr>
          <w:ilvl w:val="0"/>
          <w:numId w:val="1001"/>
        </w:numPr>
        <w:pStyle w:val="Heading1"/>
      </w:pPr>
      <w:bookmarkStart w:id="23" w:name="keep-figures-where-there-are-in-the-text"/>
      <w:r>
        <w:t xml:space="preserve">keep figures where there are in the text</w:t>
      </w:r>
      <w:bookmarkEnd w:id="23"/>
    </w:p>
    <w:p>
      <w:pPr>
        <w:numPr>
          <w:ilvl w:val="1"/>
          <w:numId w:val="1002"/>
        </w:numPr>
        <w:pStyle w:val="Heading2"/>
      </w:pPr>
      <w:bookmarkStart w:id="24" w:name="X94ea5b1a9ad1db96c8ed73c19fcaa297f45e42d"/>
      <w:r>
        <w:t xml:space="preserve"> </w:t>
      </w:r>
      <w:r>
        <w:t xml:space="preserve"># keep figures where there are in the text</w:t>
      </w:r>
      <w:bookmarkEnd w:id="24"/>
    </w:p>
    <w:bookmarkEnd w:id="25"/>
    <w:bookmarkStart w:id="26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возможно-</w:t>
      </w:r>
      <w:r>
        <w:t xml:space="preserve"> </w:t>
      </w:r>
      <w:r>
        <w:t xml:space="preserve">стями.</w:t>
      </w:r>
    </w:p>
    <w:bookmarkEnd w:id="26"/>
    <w:bookmarkStart w:id="27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подпрограмм. Познакомиться с методами отладки при помощи GDB и его основными возможностями.</w:t>
      </w:r>
    </w:p>
    <w:bookmarkEnd w:id="27"/>
    <w:bookmarkStart w:id="2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программа-отладчик приостанавливает выполнение программы и ждёт команд.</w:t>
      </w:r>
      <w:r>
        <w:t xml:space="preserve"> </w:t>
      </w: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</w:t>
      </w:r>
      <w:r>
        <w:t xml:space="preserve"> </w:t>
      </w:r>
      <w:r>
        <w:t xml:space="preserve">простых переходов из подпрограмм существует возврат на команду, следующую за вызовом.</w:t>
      </w:r>
    </w:p>
    <w:bookmarkEnd w:id="28"/>
    <w:bookmarkStart w:id="14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Создала каталог для выполнения лабораторной работы No 10, перешла в него и создала файл lab10-1.asm (рис. 1)</w:t>
      </w:r>
    </w:p>
    <w:p>
      <w:pPr>
        <w:pStyle w:val="CaptionedFigure"/>
      </w:pPr>
      <w:bookmarkStart w:id="32" w:name="fig:001"/>
      <w:r>
        <w:drawing>
          <wp:inline>
            <wp:extent cx="5334000" cy="1454727"/>
            <wp:effectExtent b="0" l="0" r="0" t="0"/>
            <wp:docPr descr="Figure 1: Содание файла" title="" id="30" name="Picture"/>
            <a:graphic>
              <a:graphicData uri="http://schemas.openxmlformats.org/drawingml/2006/picture">
                <pic:pic>
                  <pic:nvPicPr>
                    <pic:cNvPr descr="image/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1: Содание файла</w:t>
      </w:r>
    </w:p>
    <w:p>
      <w:pPr>
        <w:numPr>
          <w:ilvl w:val="0"/>
          <w:numId w:val="1004"/>
        </w:numPr>
        <w:pStyle w:val="Compact"/>
      </w:pPr>
      <w:r>
        <w:t xml:space="preserve">Ввела в файл lab10-1.asm текст программы из листинга 10.1. Создала исполняемый файл и проверила его работу(рис. 2, рис.3 )</w:t>
      </w:r>
    </w:p>
    <w:p>
      <w:pPr>
        <w:pStyle w:val="CaptionedFigure"/>
      </w:pPr>
      <w:bookmarkStart w:id="36" w:name="fig:002"/>
      <w:r>
        <w:drawing>
          <wp:inline>
            <wp:extent cx="5334000" cy="7820186"/>
            <wp:effectExtent b="0" l="0" r="0" t="0"/>
            <wp:docPr descr="Figure 2: Текст" title="" id="34" name="Picture"/>
            <a:graphic>
              <a:graphicData uri="http://schemas.openxmlformats.org/drawingml/2006/picture">
                <pic:pic>
                  <pic:nvPicPr>
                    <pic:cNvPr descr="image/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0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2: Текст</w:t>
      </w:r>
    </w:p>
    <w:p>
      <w:pPr>
        <w:pStyle w:val="CaptionedFigure"/>
      </w:pPr>
      <w:bookmarkStart w:id="40" w:name="fig:003"/>
      <w:r>
        <w:drawing>
          <wp:inline>
            <wp:extent cx="5334000" cy="945265"/>
            <wp:effectExtent b="0" l="0" r="0" t="0"/>
            <wp:docPr descr="Figure 3: Проверка работы файла" title="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3: Проверка работы файла</w:t>
      </w:r>
    </w:p>
    <w:p>
      <w:pPr>
        <w:numPr>
          <w:ilvl w:val="0"/>
          <w:numId w:val="1005"/>
        </w:numPr>
        <w:pStyle w:val="Compact"/>
      </w:pPr>
      <w:r>
        <w:t xml:space="preserve">Изменила текст программы, добавив подпрограмму _subcalcul в подпрограмму _calcul, для вычисления выражения f(g(x)), где x вводится с клавиатуры, f(x) = 2x + 7, g(x) = 3x − 1.Создала исполняемый файл и проверила его работу (рис. 4, рис.5 )</w:t>
      </w:r>
    </w:p>
    <w:p>
      <w:pPr>
        <w:pStyle w:val="CaptionedFigure"/>
      </w:pPr>
      <w:bookmarkStart w:id="44" w:name="fig:004"/>
      <w:r>
        <w:drawing>
          <wp:inline>
            <wp:extent cx="5334000" cy="7200900"/>
            <wp:effectExtent b="0" l="0" r="0" t="0"/>
            <wp:docPr descr="Figure 4: Текст" title="" id="42" name="Picture"/>
            <a:graphic>
              <a:graphicData uri="http://schemas.openxmlformats.org/drawingml/2006/picture">
                <pic:pic>
                  <pic:nvPicPr>
                    <pic:cNvPr descr="image/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4: Текст</w:t>
      </w:r>
    </w:p>
    <w:p>
      <w:pPr>
        <w:pStyle w:val="CaptionedFigure"/>
      </w:pPr>
      <w:bookmarkStart w:id="48" w:name="fig:005"/>
      <w:r>
        <w:drawing>
          <wp:inline>
            <wp:extent cx="5334000" cy="1217705"/>
            <wp:effectExtent b="0" l="0" r="0" t="0"/>
            <wp:docPr descr="Figure 5: Проверка работы файла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5: Проверка работы файла</w:t>
      </w:r>
    </w:p>
    <w:p>
      <w:pPr>
        <w:numPr>
          <w:ilvl w:val="0"/>
          <w:numId w:val="1006"/>
        </w:numPr>
        <w:pStyle w:val="Compact"/>
      </w:pPr>
      <w:r>
        <w:t xml:space="preserve">Создала файл lab10-2.asm с текстом программы из Листинга 10.2 (рис. 6, рис.7 )</w:t>
      </w:r>
    </w:p>
    <w:p>
      <w:pPr>
        <w:pStyle w:val="CaptionedFigure"/>
      </w:pPr>
      <w:bookmarkStart w:id="52" w:name="fig:006"/>
      <w:r>
        <w:drawing>
          <wp:inline>
            <wp:extent cx="5334000" cy="273296"/>
            <wp:effectExtent b="0" l="0" r="0" t="0"/>
            <wp:docPr descr="Figure 6: Создание файла" title="" id="50" name="Picture"/>
            <a:graphic>
              <a:graphicData uri="http://schemas.openxmlformats.org/drawingml/2006/picture">
                <pic:pic>
                  <pic:nvPicPr>
                    <pic:cNvPr descr="image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6: Создание файла</w:t>
      </w:r>
    </w:p>
    <w:p>
      <w:pPr>
        <w:pStyle w:val="CaptionedFigure"/>
      </w:pPr>
      <w:bookmarkStart w:id="56" w:name="fig:007"/>
      <w:r>
        <w:drawing>
          <wp:inline>
            <wp:extent cx="5334000" cy="4608349"/>
            <wp:effectExtent b="0" l="0" r="0" t="0"/>
            <wp:docPr descr="Figure 7: Текст" title="" id="54" name="Picture"/>
            <a:graphic>
              <a:graphicData uri="http://schemas.openxmlformats.org/drawingml/2006/picture">
                <pic:pic>
                  <pic:nvPicPr>
                    <pic:cNvPr descr="image/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7: Текст</w:t>
      </w:r>
    </w:p>
    <w:p>
      <w:pPr>
        <w:numPr>
          <w:ilvl w:val="0"/>
          <w:numId w:val="1007"/>
        </w:numPr>
        <w:pStyle w:val="Compact"/>
      </w:pPr>
      <w:r>
        <w:t xml:space="preserve">Загрузила исполняемый файл в отладчик gdb (рис. 8)</w:t>
      </w:r>
    </w:p>
    <w:p>
      <w:pPr>
        <w:pStyle w:val="CaptionedFigure"/>
      </w:pPr>
      <w:bookmarkStart w:id="60" w:name="fig:008"/>
      <w:r>
        <w:drawing>
          <wp:inline>
            <wp:extent cx="5334000" cy="3375868"/>
            <wp:effectExtent b="0" l="0" r="0" t="0"/>
            <wp:docPr descr="Figure 8: Загрузка файла" title="" id="58" name="Picture"/>
            <a:graphic>
              <a:graphicData uri="http://schemas.openxmlformats.org/drawingml/2006/picture">
                <pic:pic>
                  <pic:nvPicPr>
                    <pic:cNvPr descr="image/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8: Загрузка файла</w:t>
      </w:r>
    </w:p>
    <w:p>
      <w:pPr>
        <w:numPr>
          <w:ilvl w:val="0"/>
          <w:numId w:val="1008"/>
        </w:numPr>
        <w:pStyle w:val="Compact"/>
      </w:pPr>
      <w:r>
        <w:t xml:space="preserve">Загрузила исполняемый файл в отладчик gdb. Проверила работу программы, запустив ее в оболочке GDB с помощью команды run (рис. 9 )</w:t>
      </w:r>
    </w:p>
    <w:p>
      <w:pPr>
        <w:pStyle w:val="CaptionedFigure"/>
      </w:pPr>
      <w:bookmarkStart w:id="64" w:name="fig:009"/>
      <w:r>
        <w:drawing>
          <wp:inline>
            <wp:extent cx="5334000" cy="884756"/>
            <wp:effectExtent b="0" l="0" r="0" t="0"/>
            <wp:docPr descr="Figure 9: Проверка работы" title="" id="62" name="Picture"/>
            <a:graphic>
              <a:graphicData uri="http://schemas.openxmlformats.org/drawingml/2006/picture">
                <pic:pic>
                  <pic:nvPicPr>
                    <pic:cNvPr descr="image/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4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9: Проверка работы</w:t>
      </w:r>
    </w:p>
    <w:p>
      <w:pPr>
        <w:numPr>
          <w:ilvl w:val="0"/>
          <w:numId w:val="1009"/>
        </w:numPr>
        <w:pStyle w:val="Compact"/>
      </w:pPr>
      <w:r>
        <w:t xml:space="preserve">Для более подробного анализа программы установила брейкпоинт на метку _start, с которой начинается выполнение любой ассемблерной программы, и запустила её (рис. 10 )</w:t>
      </w:r>
    </w:p>
    <w:p>
      <w:pPr>
        <w:pStyle w:val="CaptionedFigure"/>
      </w:pPr>
      <w:bookmarkStart w:id="68" w:name="fig:010"/>
      <w:r>
        <w:drawing>
          <wp:inline>
            <wp:extent cx="5334000" cy="793038"/>
            <wp:effectExtent b="0" l="0" r="0" t="0"/>
            <wp:docPr descr="Figure 10: Запуск" title="" id="66" name="Picture"/>
            <a:graphic>
              <a:graphicData uri="http://schemas.openxmlformats.org/drawingml/2006/picture">
                <pic:pic>
                  <pic:nvPicPr>
                    <pic:cNvPr descr="image/1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10: Запуск</w:t>
      </w:r>
    </w:p>
    <w:p>
      <w:pPr>
        <w:numPr>
          <w:ilvl w:val="0"/>
          <w:numId w:val="1010"/>
        </w:numPr>
        <w:pStyle w:val="Compact"/>
      </w:pPr>
      <w:r>
        <w:t xml:space="preserve">Посмотрела дисассимилированный код программы с помощью команды disassemble начиная с метки _start (рис. 11 )</w:t>
      </w:r>
    </w:p>
    <w:p>
      <w:pPr>
        <w:pStyle w:val="CaptionedFigure"/>
      </w:pPr>
      <w:bookmarkStart w:id="72" w:name="fig:011"/>
      <w:r>
        <w:drawing>
          <wp:inline>
            <wp:extent cx="5334000" cy="4314264"/>
            <wp:effectExtent b="0" l="0" r="0" t="0"/>
            <wp:docPr descr="Figure 11: Код программы" title="" id="70" name="Picture"/>
            <a:graphic>
              <a:graphicData uri="http://schemas.openxmlformats.org/drawingml/2006/picture">
                <pic:pic>
                  <pic:nvPicPr>
                    <pic:cNvPr descr="image/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11: Код программы</w:t>
      </w:r>
    </w:p>
    <w:p>
      <w:pPr>
        <w:numPr>
          <w:ilvl w:val="0"/>
          <w:numId w:val="1011"/>
        </w:numPr>
        <w:pStyle w:val="Compact"/>
      </w:pPr>
      <w:r>
        <w:t xml:space="preserve">Переключилась на отображение команд с Intel’овским синтаксисом, введя команду set disassembly-flavor intel (рис. 12 )</w:t>
      </w:r>
    </w:p>
    <w:p>
      <w:pPr>
        <w:pStyle w:val="CaptionedFigure"/>
      </w:pPr>
      <w:bookmarkStart w:id="76" w:name="fig:012"/>
      <w:r>
        <w:drawing>
          <wp:inline>
            <wp:extent cx="5334000" cy="4504764"/>
            <wp:effectExtent b="0" l="0" r="0" t="0"/>
            <wp:docPr descr="Figure 12: Команды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12: Команды</w:t>
      </w:r>
    </w:p>
    <w:p>
      <w:pPr>
        <w:numPr>
          <w:ilvl w:val="0"/>
          <w:numId w:val="1012"/>
        </w:numPr>
        <w:pStyle w:val="Compact"/>
      </w:pPr>
      <w:r>
        <w:t xml:space="preserve">Включил режим псевдографики для более удобного анализа программы (рис. 13, рис.14 )</w:t>
      </w:r>
    </w:p>
    <w:p>
      <w:pPr>
        <w:pStyle w:val="CaptionedFigure"/>
      </w:pPr>
      <w:bookmarkStart w:id="80" w:name="fig:013"/>
      <w:r>
        <w:drawing>
          <wp:inline>
            <wp:extent cx="5334000" cy="6397962"/>
            <wp:effectExtent b="0" l="0" r="0" t="0"/>
            <wp:docPr descr="Figure 13: 1 этап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13: 1 этап</w:t>
      </w:r>
    </w:p>
    <w:p>
      <w:pPr>
        <w:pStyle w:val="CaptionedFigure"/>
      </w:pPr>
      <w:bookmarkStart w:id="84" w:name="fig:014"/>
      <w:r>
        <w:drawing>
          <wp:inline>
            <wp:extent cx="5334000" cy="4190032"/>
            <wp:effectExtent b="0" l="0" r="0" t="0"/>
            <wp:docPr descr="Figure 14: 2 этап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0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14: 2 этап</w:t>
      </w:r>
    </w:p>
    <w:p>
      <w:pPr>
        <w:numPr>
          <w:ilvl w:val="0"/>
          <w:numId w:val="1013"/>
        </w:numPr>
        <w:pStyle w:val="Compact"/>
      </w:pPr>
      <w:r>
        <w:t xml:space="preserve">На предыдущих шагах была установлена точка останова по имени метки (_start). Проверила это с помощью команды info breakpoints (рис. 15 )</w:t>
      </w:r>
    </w:p>
    <w:p>
      <w:pPr>
        <w:pStyle w:val="CaptionedFigure"/>
      </w:pPr>
      <w:bookmarkStart w:id="88" w:name="fig:015"/>
      <w:r>
        <w:drawing>
          <wp:inline>
            <wp:extent cx="5334000" cy="1360025"/>
            <wp:effectExtent b="0" l="0" r="0" t="0"/>
            <wp:docPr descr="Figure 15: Проверка" title="" id="86" name="Picture"/>
            <a:graphic>
              <a:graphicData uri="http://schemas.openxmlformats.org/drawingml/2006/picture">
                <pic:pic>
                  <pic:nvPicPr>
                    <pic:cNvPr descr="image/1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15: Проверка</w:t>
      </w:r>
    </w:p>
    <w:p>
      <w:pPr>
        <w:numPr>
          <w:ilvl w:val="0"/>
          <w:numId w:val="1014"/>
        </w:numPr>
        <w:pStyle w:val="Compact"/>
      </w:pPr>
      <w:r>
        <w:t xml:space="preserve">Определила адрес предпоследней инструкции (mov ebx,0x0) и установила точку останова.(рис. 16 )</w:t>
      </w:r>
    </w:p>
    <w:p>
      <w:pPr>
        <w:pStyle w:val="CaptionedFigure"/>
      </w:pPr>
      <w:bookmarkStart w:id="92" w:name="fig:016"/>
      <w:r>
        <w:drawing>
          <wp:inline>
            <wp:extent cx="5334000" cy="4713349"/>
            <wp:effectExtent b="0" l="0" r="0" t="0"/>
            <wp:docPr descr="Figure 16: Выполнение" title="" id="90" name="Picture"/>
            <a:graphic>
              <a:graphicData uri="http://schemas.openxmlformats.org/drawingml/2006/picture">
                <pic:pic>
                  <pic:nvPicPr>
                    <pic:cNvPr descr="image/1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16: Выполнение</w:t>
      </w:r>
    </w:p>
    <w:p>
      <w:pPr>
        <w:numPr>
          <w:ilvl w:val="0"/>
          <w:numId w:val="1015"/>
        </w:numPr>
        <w:pStyle w:val="Compact"/>
      </w:pPr>
      <w:r>
        <w:t xml:space="preserve">Посмотрела информацию о всех установленных точках останова (рис. 17 )</w:t>
      </w:r>
    </w:p>
    <w:p>
      <w:pPr>
        <w:pStyle w:val="CaptionedFigure"/>
      </w:pPr>
      <w:bookmarkStart w:id="96" w:name="fig:017"/>
      <w:r>
        <w:drawing>
          <wp:inline>
            <wp:extent cx="5334000" cy="1264863"/>
            <wp:effectExtent b="0" l="0" r="0" t="0"/>
            <wp:docPr descr="Figure 17: Информация" title="" id="94" name="Picture"/>
            <a:graphic>
              <a:graphicData uri="http://schemas.openxmlformats.org/drawingml/2006/picture">
                <pic:pic>
                  <pic:nvPicPr>
                    <pic:cNvPr descr="image/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 17: Информация</w:t>
      </w:r>
    </w:p>
    <w:p>
      <w:pPr>
        <w:numPr>
          <w:ilvl w:val="0"/>
          <w:numId w:val="1016"/>
        </w:numPr>
        <w:pStyle w:val="Compact"/>
      </w:pPr>
      <w:r>
        <w:t xml:space="preserve">Посмотрела содержимое регистров также можно с помощью команды info registers (или i r) (рис. 18 )</w:t>
      </w:r>
    </w:p>
    <w:p>
      <w:pPr>
        <w:pStyle w:val="CaptionedFigure"/>
      </w:pPr>
      <w:bookmarkStart w:id="100" w:name="fig:018"/>
      <w:r>
        <w:drawing>
          <wp:inline>
            <wp:extent cx="5334000" cy="2725744"/>
            <wp:effectExtent b="0" l="0" r="0" t="0"/>
            <wp:docPr descr="Figure 18: Содержимое регистров" title="" id="98" name="Picture"/>
            <a:graphic>
              <a:graphicData uri="http://schemas.openxmlformats.org/drawingml/2006/picture">
                <pic:pic>
                  <pic:nvPicPr>
                    <pic:cNvPr descr="image/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 18: Содержимое регистров</w:t>
      </w:r>
    </w:p>
    <w:p>
      <w:pPr>
        <w:numPr>
          <w:ilvl w:val="0"/>
          <w:numId w:val="1017"/>
        </w:numPr>
        <w:pStyle w:val="Compact"/>
      </w:pPr>
      <w:r>
        <w:t xml:space="preserve">Посмотрела значение переменной msg1 по имени (рис. 19 )</w:t>
      </w:r>
    </w:p>
    <w:p>
      <w:pPr>
        <w:pStyle w:val="CaptionedFigure"/>
      </w:pPr>
      <w:bookmarkStart w:id="104" w:name="fig:019"/>
      <w:r>
        <w:drawing>
          <wp:inline>
            <wp:extent cx="3975100" cy="901700"/>
            <wp:effectExtent b="0" l="0" r="0" t="0"/>
            <wp:docPr descr="Figure 19: Значение переменной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 19: Значение переменной</w:t>
      </w:r>
    </w:p>
    <w:p>
      <w:pPr>
        <w:numPr>
          <w:ilvl w:val="0"/>
          <w:numId w:val="1018"/>
        </w:numPr>
        <w:pStyle w:val="Compact"/>
      </w:pPr>
      <w:r>
        <w:t xml:space="preserve">Изменила первый символ переменной msg1 (рис. 20 )</w:t>
      </w:r>
    </w:p>
    <w:p>
      <w:pPr>
        <w:pStyle w:val="CaptionedFigure"/>
      </w:pPr>
      <w:bookmarkStart w:id="108" w:name="fig:020"/>
      <w:r>
        <w:drawing>
          <wp:inline>
            <wp:extent cx="3975100" cy="901700"/>
            <wp:effectExtent b="0" l="0" r="0" t="0"/>
            <wp:docPr descr="Figure 20: Замена ‘H’ на ‘h’" title="" id="106" name="Picture"/>
            <a:graphic>
              <a:graphicData uri="http://schemas.openxmlformats.org/drawingml/2006/picture">
                <pic:pic>
                  <pic:nvPicPr>
                    <pic:cNvPr descr="image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 20: Замена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</w:p>
    <w:p>
      <w:pPr>
        <w:numPr>
          <w:ilvl w:val="0"/>
          <w:numId w:val="1019"/>
        </w:numPr>
        <w:pStyle w:val="Compact"/>
      </w:pPr>
      <w:r>
        <w:t xml:space="preserve">Заменила символ во второй переменной msg2 (рис. 21 )</w:t>
      </w:r>
    </w:p>
    <w:p>
      <w:pPr>
        <w:pStyle w:val="CaptionedFigure"/>
      </w:pPr>
      <w:bookmarkStart w:id="112" w:name="fig:021"/>
      <w:r>
        <w:drawing>
          <wp:inline>
            <wp:extent cx="5334000" cy="866622"/>
            <wp:effectExtent b="0" l="0" r="0" t="0"/>
            <wp:docPr descr="Figure 21: Замена ‘W’ на ‘k’" title="" id="110" name="Picture"/>
            <a:graphic>
              <a:graphicData uri="http://schemas.openxmlformats.org/drawingml/2006/picture">
                <pic:pic>
                  <pic:nvPicPr>
                    <pic:cNvPr descr="image/2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 21: Замена</w:t>
      </w:r>
      <w:r>
        <w:t xml:space="preserve"> </w:t>
      </w:r>
      <w:r>
        <w:t xml:space="preserve">‘</w:t>
      </w:r>
      <w:r>
        <w:t xml:space="preserve">W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k</w:t>
      </w:r>
      <w:r>
        <w:t xml:space="preserve">’</w:t>
      </w:r>
    </w:p>
    <w:p>
      <w:pPr>
        <w:numPr>
          <w:ilvl w:val="0"/>
          <w:numId w:val="1020"/>
        </w:numPr>
        <w:pStyle w:val="Compact"/>
      </w:pPr>
      <w:r>
        <w:t xml:space="preserve">Вывела в различных форматах (в шестнадцатеричном формате, в двоичном формате и в символьном виде) значение регистра edx (рис. 22 )</w:t>
      </w:r>
    </w:p>
    <w:p>
      <w:pPr>
        <w:pStyle w:val="CaptionedFigure"/>
      </w:pPr>
      <w:bookmarkStart w:id="116" w:name="fig:022"/>
      <w:r>
        <w:drawing>
          <wp:inline>
            <wp:extent cx="5334000" cy="7926916"/>
            <wp:effectExtent b="0" l="0" r="0" t="0"/>
            <wp:docPr descr="Figure 22: Значения регистра edx" title="" id="114" name="Picture"/>
            <a:graphic>
              <a:graphicData uri="http://schemas.openxmlformats.org/drawingml/2006/picture">
                <pic:pic>
                  <pic:nvPicPr>
                    <pic:cNvPr descr="image/2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6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 22: Значения регистра edx</w:t>
      </w:r>
    </w:p>
    <w:p>
      <w:pPr>
        <w:numPr>
          <w:ilvl w:val="0"/>
          <w:numId w:val="1021"/>
        </w:numPr>
        <w:pStyle w:val="Compact"/>
      </w:pPr>
      <w:r>
        <w:t xml:space="preserve">С помощью команды set изменила значение регистра ebx (рис. 23, рис.24 )</w:t>
      </w:r>
    </w:p>
    <w:p>
      <w:pPr>
        <w:pStyle w:val="CaptionedFigure"/>
      </w:pPr>
      <w:bookmarkStart w:id="120" w:name="fig:023"/>
      <w:r>
        <w:drawing>
          <wp:inline>
            <wp:extent cx="3314700" cy="1206500"/>
            <wp:effectExtent b="0" l="0" r="0" t="0"/>
            <wp:docPr descr="Figure 23: 1 вариант" title="" id="118" name="Picture"/>
            <a:graphic>
              <a:graphicData uri="http://schemas.openxmlformats.org/drawingml/2006/picture">
                <pic:pic>
                  <pic:nvPicPr>
                    <pic:cNvPr descr="image/2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 23: 1 вариант</w:t>
      </w:r>
    </w:p>
    <w:p>
      <w:pPr>
        <w:pStyle w:val="CaptionedFigure"/>
      </w:pPr>
      <w:bookmarkStart w:id="124" w:name="fig:024"/>
      <w:r>
        <w:drawing>
          <wp:inline>
            <wp:extent cx="3314700" cy="1206500"/>
            <wp:effectExtent b="0" l="0" r="0" t="0"/>
            <wp:docPr descr="Figure 24: 2 вариант" title="" id="122" name="Picture"/>
            <a:graphic>
              <a:graphicData uri="http://schemas.openxmlformats.org/drawingml/2006/picture">
                <pic:pic>
                  <pic:nvPicPr>
                    <pic:cNvPr descr="image/2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 24: 2 вариант</w:t>
      </w:r>
    </w:p>
    <w:p>
      <w:pPr>
        <w:numPr>
          <w:ilvl w:val="0"/>
          <w:numId w:val="1022"/>
        </w:numPr>
        <w:pStyle w:val="Compact"/>
      </w:pPr>
      <w:r>
        <w:t xml:space="preserve">Скопировала файл lab9-2.asm, созданный при выполнении лабораторной работы No9, с программой выводящей на экран аргументы командной строки (Листинг 9.2) в файл с именем lab10-3.asm (рис. 25 )</w:t>
      </w:r>
    </w:p>
    <w:p>
      <w:pPr>
        <w:pStyle w:val="CaptionedFigure"/>
      </w:pPr>
      <w:bookmarkStart w:id="128" w:name="fig:025"/>
      <w:r>
        <w:drawing>
          <wp:inline>
            <wp:extent cx="5334000" cy="177602"/>
            <wp:effectExtent b="0" l="0" r="0" t="0"/>
            <wp:docPr descr="Figure 25: Копирование файла" title="" id="126" name="Picture"/>
            <a:graphic>
              <a:graphicData uri="http://schemas.openxmlformats.org/drawingml/2006/picture">
                <pic:pic>
                  <pic:nvPicPr>
                    <pic:cNvPr descr="image/2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 25: Копирование файла</w:t>
      </w:r>
    </w:p>
    <w:p>
      <w:pPr>
        <w:numPr>
          <w:ilvl w:val="0"/>
          <w:numId w:val="1023"/>
        </w:numPr>
        <w:pStyle w:val="Compact"/>
      </w:pPr>
      <w:r>
        <w:t xml:space="preserve">Создала исполняемый файл. Для загрузки в gdb программы с аргументами необходимо использовать ключ –args. Загрузила исполняемый файл в отладчик, указав аргументы (рис. 26 )</w:t>
      </w:r>
    </w:p>
    <w:p>
      <w:pPr>
        <w:pStyle w:val="CaptionedFigure"/>
      </w:pPr>
      <w:bookmarkStart w:id="132" w:name="fig:026"/>
      <w:r>
        <w:drawing>
          <wp:inline>
            <wp:extent cx="5334000" cy="2710517"/>
            <wp:effectExtent b="0" l="0" r="0" t="0"/>
            <wp:docPr descr="Figure 26: Значения регистра edx" title="" id="130" name="Picture"/>
            <a:graphic>
              <a:graphicData uri="http://schemas.openxmlformats.org/drawingml/2006/picture">
                <pic:pic>
                  <pic:nvPicPr>
                    <pic:cNvPr descr="image/2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 26: Значения регистра edx</w:t>
      </w:r>
    </w:p>
    <w:p>
      <w:pPr>
        <w:numPr>
          <w:ilvl w:val="0"/>
          <w:numId w:val="1024"/>
        </w:numPr>
        <w:pStyle w:val="Compact"/>
      </w:pPr>
      <w:r>
        <w:t xml:space="preserve">Для начала установила точку останова перед первой инструкцией в программе и запустила ее.(рис. 27 )</w:t>
      </w:r>
    </w:p>
    <w:p>
      <w:pPr>
        <w:pStyle w:val="CaptionedFigure"/>
      </w:pPr>
      <w:bookmarkStart w:id="136" w:name="fig:027"/>
      <w:r>
        <w:drawing>
          <wp:inline>
            <wp:extent cx="5334000" cy="1069286"/>
            <wp:effectExtent b="0" l="0" r="0" t="0"/>
            <wp:docPr descr="Figure 27: Запуск" title="" id="134" name="Picture"/>
            <a:graphic>
              <a:graphicData uri="http://schemas.openxmlformats.org/drawingml/2006/picture">
                <pic:pic>
                  <pic:nvPicPr>
                    <pic:cNvPr descr="image/2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 27: Запуск</w:t>
      </w:r>
    </w:p>
    <w:p>
      <w:pPr>
        <w:numPr>
          <w:ilvl w:val="0"/>
          <w:numId w:val="1025"/>
        </w:numPr>
        <w:pStyle w:val="Compac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 (рис. 28 )</w:t>
      </w:r>
    </w:p>
    <w:p>
      <w:pPr>
        <w:pStyle w:val="CaptionedFigure"/>
      </w:pPr>
      <w:bookmarkStart w:id="140" w:name="fig:028"/>
      <w:r>
        <w:drawing>
          <wp:inline>
            <wp:extent cx="3492500" cy="1028700"/>
            <wp:effectExtent b="0" l="0" r="0" t="0"/>
            <wp:docPr descr="Figure 28: Количество аргуметов" title="" id="138" name="Picture"/>
            <a:graphic>
              <a:graphicData uri="http://schemas.openxmlformats.org/drawingml/2006/picture">
                <pic:pic>
                  <pic:nvPicPr>
                    <pic:cNvPr descr="image/2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 28: Количество аргуметов</w:t>
      </w:r>
    </w:p>
    <w:p>
      <w:pPr>
        <w:numPr>
          <w:ilvl w:val="0"/>
          <w:numId w:val="1026"/>
        </w:numPr>
        <w:pStyle w:val="Compact"/>
      </w:pPr>
      <w:r>
        <w:t xml:space="preserve">Посмотрела остальные позиции стека (рис. 29 )</w:t>
      </w:r>
    </w:p>
    <w:p>
      <w:pPr>
        <w:pStyle w:val="CaptionedFigure"/>
      </w:pPr>
      <w:bookmarkStart w:id="144" w:name="fig:029"/>
      <w:r>
        <w:drawing>
          <wp:inline>
            <wp:extent cx="5334000" cy="2559050"/>
            <wp:effectExtent b="0" l="0" r="0" t="0"/>
            <wp:docPr descr="Figure 29: Остальные позиции" title="" id="142" name="Picture"/>
            <a:graphic>
              <a:graphicData uri="http://schemas.openxmlformats.org/drawingml/2006/picture">
                <pic:pic>
                  <pic:nvPicPr>
                    <pic:cNvPr descr="image/2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 29: Остальные позиции</w:t>
      </w:r>
    </w:p>
    <w:bookmarkEnd w:id="145"/>
    <w:bookmarkStart w:id="162" w:name="самостоятельна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27"/>
        </w:numPr>
        <w:pStyle w:val="Compact"/>
      </w:pPr>
      <w:r>
        <w:t xml:space="preserve">Преобраpазовала программу из лабораторной работы №9 (Задание №1 для самостоятельной работы), реализовав вычисление значения функции f(x) как подпрограмму. Проверила работу (рис. 30, рис.31 )</w:t>
      </w:r>
    </w:p>
    <w:p>
      <w:pPr>
        <w:pStyle w:val="CaptionedFigure"/>
      </w:pPr>
      <w:bookmarkStart w:id="149" w:name="fig:030"/>
      <w:r>
        <w:drawing>
          <wp:inline>
            <wp:extent cx="4381500" cy="8483600"/>
            <wp:effectExtent b="0" l="0" r="0" t="0"/>
            <wp:docPr descr="Figure 30: Текст" title="" id="147" name="Picture"/>
            <a:graphic>
              <a:graphicData uri="http://schemas.openxmlformats.org/drawingml/2006/picture">
                <pic:pic>
                  <pic:nvPicPr>
                    <pic:cNvPr descr="image/30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48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 30: Текст</w:t>
      </w:r>
    </w:p>
    <w:p>
      <w:pPr>
        <w:pStyle w:val="CaptionedFigure"/>
      </w:pPr>
      <w:bookmarkStart w:id="153" w:name="fig:031"/>
      <w:r>
        <w:drawing>
          <wp:inline>
            <wp:extent cx="5334000" cy="2230465"/>
            <wp:effectExtent b="0" l="0" r="0" t="0"/>
            <wp:docPr descr="Figure 31: Проверка работы" title="" id="151" name="Picture"/>
            <a:graphic>
              <a:graphicData uri="http://schemas.openxmlformats.org/drawingml/2006/picture">
                <pic:pic>
                  <pic:nvPicPr>
                    <pic:cNvPr descr="image/3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0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Figure 31: Проверка работы</w:t>
      </w:r>
    </w:p>
    <w:p>
      <w:pPr>
        <w:numPr>
          <w:ilvl w:val="0"/>
          <w:numId w:val="1028"/>
        </w:numPr>
        <w:pStyle w:val="Compact"/>
      </w:pPr>
      <w:r>
        <w:t xml:space="preserve">С помощью отладчика GDB, анализируя изменения значений регистров,определила ошибку и исправила ее (рис. 32, рис.33 )</w:t>
      </w:r>
    </w:p>
    <w:p>
      <w:pPr>
        <w:pStyle w:val="CaptionedFigure"/>
      </w:pPr>
      <w:bookmarkStart w:id="157" w:name="fig:032"/>
      <w:r>
        <w:drawing>
          <wp:inline>
            <wp:extent cx="5232400" cy="6197600"/>
            <wp:effectExtent b="0" l="0" r="0" t="0"/>
            <wp:docPr descr="Figure 32: Текст без ошибок" title="" id="155" name="Picture"/>
            <a:graphic>
              <a:graphicData uri="http://schemas.openxmlformats.org/drawingml/2006/picture">
                <pic:pic>
                  <pic:nvPicPr>
                    <pic:cNvPr descr="image/32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619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Figure 32: Текст без ошибок</w:t>
      </w:r>
    </w:p>
    <w:p>
      <w:pPr>
        <w:pStyle w:val="CaptionedFigure"/>
      </w:pPr>
      <w:bookmarkStart w:id="161" w:name="fig:033"/>
      <w:r>
        <w:drawing>
          <wp:inline>
            <wp:extent cx="5334000" cy="584896"/>
            <wp:effectExtent b="0" l="0" r="0" t="0"/>
            <wp:docPr descr="Figure 33: Проверка работы" title="" id="159" name="Picture"/>
            <a:graphic>
              <a:graphicData uri="http://schemas.openxmlformats.org/drawingml/2006/picture">
                <pic:pic>
                  <pic:nvPicPr>
                    <pic:cNvPr descr="image/33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Figure 33: Проверка работы</w:t>
      </w:r>
    </w:p>
    <w:bookmarkEnd w:id="162"/>
    <w:bookmarkStart w:id="16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написания программ с использованием подпрограмм.Познакомилась с методами отладки при помощи GDB и его основными возможностями.</w:t>
      </w:r>
    </w:p>
    <w:bookmarkEnd w:id="1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0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1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2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3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4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5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6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33" Target="media/rId33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37" Target="media/rId37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2022-12-16T13:12:28Z</dcterms:created>
  <dcterms:modified xsi:type="dcterms:W3CDTF">2022-12-16T13:12:28Z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BlockInlineMath">
    <vt:lpwstr>False</vt:lpwstr>
  </property>
  <property fmtid="{D5CDD505-2E9C-101B-9397-08002B2CF9AE}" pid="15" name="eqnBlockTemplate">
    <vt:lpwstr>ti</vt:lpwstr>
  </property>
  <property fmtid="{D5CDD505-2E9C-101B-9397-08002B2CF9AE}" pid="16" name="eqnIndexTemplate">
    <vt:lpwstr>(i)</vt:lpwstr>
  </property>
  <property fmtid="{D5CDD505-2E9C-101B-9397-08002B2CF9AE}" pid="17" name="eqnInlineTemplate">
    <vt:lpwstr>eequationNumberTeX{i}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\qquad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lastDelim">
    <vt:lpwstr>, 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rangeDelim">
    <vt:lpwstr>-</vt:lpwstr>
  </property>
  <property fmtid="{D5CDD505-2E9C-101B-9397-08002B2CF9AE}" pid="41" name="refDelim">
    <vt:lpwstr>, </vt:lpwstr>
  </property>
  <property fmtid="{D5CDD505-2E9C-101B-9397-08002B2CF9AE}" pid="42" name="refIndexTemplate">
    <vt:lpwstr>isuf</vt:lpwstr>
  </property>
  <property fmtid="{D5CDD505-2E9C-101B-9397-08002B2CF9AE}" pid="43" name="secHeaderDelim">
    <vt:lpwstr> </vt:lpwstr>
  </property>
  <property fmtid="{D5CDD505-2E9C-101B-9397-08002B2CF9AE}" pid="44" name="secHeaderTemplate">
    <vt:lpwstr>isecHeaderDelim[n]t</vt:lpwstr>
  </property>
  <property fmtid="{D5CDD505-2E9C-101B-9397-08002B2CF9AE}" pid="45" name="secLabels">
    <vt:lpwstr>arabic</vt:lpwstr>
  </property>
  <property fmtid="{D5CDD505-2E9C-101B-9397-08002B2CF9AE}" pid="46" name="secPrefix">
    <vt:lpwstr/>
  </property>
  <property fmtid="{D5CDD505-2E9C-101B-9397-08002B2CF9AE}" pid="47" name="secPrefixTemplate">
    <vt:lpwstr>p i</vt:lpwstr>
  </property>
  <property fmtid="{D5CDD505-2E9C-101B-9397-08002B2CF9AE}" pid="48" name="sectionsDepth">
    <vt:lpwstr>0</vt:lpwstr>
  </property>
  <property fmtid="{D5CDD505-2E9C-101B-9397-08002B2CF9AE}" pid="49" name="subfigGrid">
    <vt:lpwstr>False</vt:lpwstr>
  </property>
  <property fmtid="{D5CDD505-2E9C-101B-9397-08002B2CF9AE}" pid="50" name="subfigLabels">
    <vt:lpwstr>alpha a</vt:lpwstr>
  </property>
  <property fmtid="{D5CDD505-2E9C-101B-9397-08002B2CF9AE}" pid="51" name="subfigureChildTemplate">
    <vt:lpwstr>i</vt:lpwstr>
  </property>
  <property fmtid="{D5CDD505-2E9C-101B-9397-08002B2CF9AE}" pid="52" name="subfigureRefIndexTemplate">
    <vt:lpwstr>isuf (s)</vt:lpwstr>
  </property>
  <property fmtid="{D5CDD505-2E9C-101B-9397-08002B2CF9AE}" pid="53" name="subfigureTemplate">
    <vt:lpwstr>figureTitle ititleDelim t. ccs</vt:lpwstr>
  </property>
  <property fmtid="{D5CDD505-2E9C-101B-9397-08002B2CF9AE}" pid="54" name="tableEqns">
    <vt:lpwstr>False</vt:lpwstr>
  </property>
  <property fmtid="{D5CDD505-2E9C-101B-9397-08002B2CF9AE}" pid="55" name="tableTemplate">
    <vt:lpwstr>tableTitle ititleDelim t</vt:lpwstr>
  </property>
  <property fmtid="{D5CDD505-2E9C-101B-9397-08002B2CF9AE}" pid="56" name="tableTitle">
    <vt:lpwstr>Table</vt:lpwstr>
  </property>
  <property fmtid="{D5CDD505-2E9C-101B-9397-08002B2CF9AE}" pid="57" name="tblLabels">
    <vt:lpwstr>arabic</vt:lpwstr>
  </property>
  <property fmtid="{D5CDD505-2E9C-101B-9397-08002B2CF9AE}" pid="58" name="tblPrefix">
    <vt:lpwstr/>
  </property>
  <property fmtid="{D5CDD505-2E9C-101B-9397-08002B2CF9AE}" pid="59" name="tblPrefixTemplate">
    <vt:lpwstr>p i</vt:lpwstr>
  </property>
  <property fmtid="{D5CDD505-2E9C-101B-9397-08002B2CF9AE}" pid="60" name="titleDelim">
    <vt:lpwstr>:</vt:lpwstr>
  </property>
</Properties>
</file>