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Impact of Interest Rate Hikes on Tech Stocks</w:t>
      </w:r>
    </w:p>
    <w:p>
      <w:r>
        <w:t>Introduction</w:t>
        <w:br/>
        <w:t>The relationship between interest rate hikes and tech stock performance is critical for investors and analysts. This document outlines the mechanisms through which rate hikes affect tech stocks, supported by empirical evidence and historical context.</w:t>
      </w:r>
    </w:p>
    <w:p>
      <w:r>
        <w:t>Key Mechanisms of Impact</w:t>
        <w:br/>
        <w:t>1. Discounted Cash Flow Effect</w:t>
        <w:br/>
        <w:t>Higher interest rates reduce the present value of future earnings, disproportionately impacting growth-oriented tech companies reliant on long-term projections.</w:t>
      </w:r>
    </w:p>
    <w:p>
      <w:r>
        <w:t>2. Financing Costs</w:t>
        <w:br/>
        <w:t>Increased borrowing costs strain tech firms with high R&amp;D and capital expenditure needs, particularly those with significant debt.</w:t>
      </w:r>
    </w:p>
    <w:p>
      <w:r>
        <w:t>3. Investor Behavior</w:t>
        <w:br/>
        <w:t>Bonds become more attractive than equities during rate hikes, leading to capital outflows from volatile tech sectors.</w:t>
      </w:r>
    </w:p>
    <w:p>
      <w:r>
        <w:t>Empirical Evidence</w:t>
        <w:br/>
        <w:t>- General Trends: A1% interest rate increase correlates with a3–5% decline in tech stock valuations (e.g., NASDAQ composite).</w:t>
        <w:br/>
        <w:t>- Recent Data (2022–2023):</w:t>
        <w:br/>
        <w:t xml:space="preserve"> - NASDAQ fell33% during Federal Reserve tightening cycles.</w:t>
        <w:br/>
        <w:t xml:space="preserve"> - High-debt tech firms experienced2–3x greater volatility compared to established giants.</w:t>
        <w:br/>
        <w:t>- Resilience of Tech Giants: Companies with strong cash flows (e.g., Apple, Microsoft) showed greater stability than high-growth startups.</w:t>
      </w:r>
    </w:p>
    <w:p>
      <w:r>
        <w:t>Historical Exceptions</w:t>
        <w:br/>
        <w:t>- The1990s dot-com boom saw tech stocks rise despite rate hikes, driven by speculative growth expectations.</w:t>
        <w:br/>
        <w:t>- Such exceptions are rare and typically occur during periods of irrational exuberance or transformative technological adoption.</w:t>
      </w:r>
    </w:p>
    <w:p>
      <w:r>
        <w:t>Conclusion</w:t>
        <w:br/>
        <w:t>Interest rate hikes negatively affect tech stocks through discounted cash flows, financing costs, and shifting investor preferences. While high-debt startups face the most volatility, established tech firms demonstrate resilience. Investors should monitor rate cycles and sector-specific risks when allocating capital in tech equities.</w:t>
      </w:r>
    </w:p>
    <w:p>
      <w:r>
        <w:t>This document synthesizes financial theory, empirical data, and historical context to provide actionable insights for stakeholders. Let me know if you need further refinements!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