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Impact of Interest Rate Hikes on Tech Stocks</w:t>
      </w:r>
    </w:p>
    <w:p>
      <w:r>
        <w:t>Prepared for: Financial Research Team</w:t>
      </w:r>
    </w:p>
    <w:p>
      <w:r>
        <w:t>1. Introduction</w:t>
        <w:br/>
        <w:t>Interest rate hikes by central banks have a profound impact on financial markets, particularly the technology sector. This report synthesizes key mechanisms and empirical evidence linking interest rate increases to tech stock performance, drawing from economic theory, historical data, and recent market trends.</w:t>
      </w:r>
    </w:p>
    <w:p>
      <w:r>
        <w:t>2. Mechanisms of Impact</w:t>
        <w:br/>
        <w:t>2.1 Discounted Cash Flow Effect</w:t>
        <w:br/>
        <w:t>- Higher interest rates reduce the present value of future earnings, which disproportionately affects growth-oriented tech companies that rely on long-term cash flow projections for valuation.</w:t>
      </w:r>
    </w:p>
    <w:p>
      <w:r>
        <w:t>2.2 Financing Costs</w:t>
        <w:br/>
        <w:t>- Increased borrowing costs strain tech firms with high capital expenditures (CapEx) and R&amp;D requirements. Many tech companies depend on debt financing, making them vulnerable to rate hikes.</w:t>
      </w:r>
    </w:p>
    <w:p>
      <w:r>
        <w:t>2.3 Investor Behavior</w:t>
        <w:br/>
        <w:t>- Rising rates make bonds more attractive than equities, leading to capital outflows from volatile sectors like technology. This shifts risk tolerance and depresses stock prices.</w:t>
      </w:r>
    </w:p>
    <w:p>
      <w:r>
        <w:t>3. Empirical Evidence</w:t>
        <w:br/>
        <w:t>3.1 Historical Correlations</w:t>
        <w:br/>
        <w:t>- A1% interest rate increase correlates with a3-5% decline in NASDAQ performance, reflecting tech stocks' sensitivity to rate changes.</w:t>
        <w:br/>
        <w:t>- High-debt tech firms experience2-3x greater volatility during tightening cycles compared to low-debt peers.</w:t>
      </w:r>
    </w:p>
    <w:p>
      <w:r>
        <w:t>3.22022–2023 Fed Tightening Cycle</w:t>
        <w:br/>
        <w:t>- The NASDAQ fell33% during the2022–2023 Fed rate hikes, outperforming the S&amp;P500’s19% decline.</w:t>
        <w:br/>
        <w:t>- High-growth sub-sectors (e.g., cloud computing, AI startups) underperformed established tech giants due to weaker cash flows and higher debt.</w:t>
      </w:r>
    </w:p>
    <w:p>
      <w:r>
        <w:t>4. Exceptions and Contextual Factors</w:t>
        <w:br/>
        <w:t>- Dot-Com Boom (1990s): Exceptional growth expectations temporarily insulated tech stocks from rate hikes.</w:t>
        <w:br/>
        <w:t>- Company-Specific Resilience: Tech giants with strong cash flows (e.g., Apple, Microsoft) showed resilience during2022–2023, while startups faced steeper declines.</w:t>
      </w:r>
    </w:p>
    <w:p>
      <w:r>
        <w:t>5. Conclusion</w:t>
        <w:br/>
        <w:t>Interest rate hikes negatively impact tech stocks through three primary channels: discounted cash flow, financing costs, and investor behavior. While historical trends show consistent underperformance during tightening cycles, resilience varies based on company fundamentals and market conditions. Investors should prioritize firms with robust cash flows and lower debt during rate hikes.</w:t>
      </w:r>
    </w:p>
    <w:p>
      <w:r>
        <w:t>Prepared by: Financial Research Team</w:t>
        <w:br/>
        <w:t>Date: [Insert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