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u w:val="single"/>
          <w:rtl w:val="0"/>
        </w:rPr>
        <w:t xml:space="preserve">Проблема</w:t>
      </w:r>
      <w:r w:rsidDel="00000000" w:rsidR="00000000" w:rsidRPr="00000000">
        <w:rPr>
          <w:sz w:val="16"/>
          <w:szCs w:val="16"/>
          <w:rtl w:val="0"/>
        </w:rPr>
        <w:t xml:space="preserve">: несмотря на развитие информационных технологий, во многих библиотеках все еще остается бумажная система учета (по обыкновению, в толстых тетрадях). Это не практично и не удобно.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Постановка задачи</w:t>
      </w:r>
      <w:r w:rsidDel="00000000" w:rsidR="00000000" w:rsidRPr="00000000">
        <w:rPr>
          <w:rtl w:val="0"/>
        </w:rPr>
        <w:t xml:space="preserve">: реализовать систему учета книг в отдельно взятой библиотеке.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Система для кого</w:t>
      </w:r>
      <w:r w:rsidDel="00000000" w:rsidR="00000000" w:rsidRPr="00000000">
        <w:rPr>
          <w:rtl w:val="0"/>
        </w:rPr>
        <w:t xml:space="preserve">: для работников библиотеки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Что можно делать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книги учета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изменение книги учета (добавление новых записей, изменение, удаление записей по истечении положенного срока)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изменение списка читателей, каталога книг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оповещение о задолженности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u w:val="single"/>
          <w:rtl w:val="0"/>
        </w:rPr>
        <w:t xml:space="preserve">Первоначальное выделение сущностей: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  <w:shd w:fill="f4cccc" w:val="clear"/>
        </w:rPr>
      </w:pPr>
      <w:r w:rsidDel="00000000" w:rsidR="00000000" w:rsidRPr="00000000">
        <w:rPr>
          <w:sz w:val="16"/>
          <w:szCs w:val="16"/>
          <w:u w:val="single"/>
          <w:shd w:fill="f4cccc" w:val="clear"/>
          <w:rtl w:val="0"/>
        </w:rPr>
        <w:t xml:space="preserve">читатель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заказанные книги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читательский билет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картотека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  <w:shd w:fill="f4cccc" w:val="clear"/>
        </w:rPr>
      </w:pPr>
      <w:r w:rsidDel="00000000" w:rsidR="00000000" w:rsidRPr="00000000">
        <w:rPr>
          <w:sz w:val="16"/>
          <w:szCs w:val="16"/>
          <w:u w:val="single"/>
          <w:shd w:fill="f4cccc" w:val="clear"/>
          <w:rtl w:val="0"/>
        </w:rPr>
        <w:t xml:space="preserve">каталог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  <w:shd w:fill="f4cccc" w:val="clear"/>
        </w:rPr>
      </w:pPr>
      <w:r w:rsidDel="00000000" w:rsidR="00000000" w:rsidRPr="00000000">
        <w:rPr>
          <w:sz w:val="16"/>
          <w:szCs w:val="16"/>
          <w:u w:val="single"/>
          <w:shd w:fill="f4cccc" w:val="clear"/>
          <w:rtl w:val="0"/>
        </w:rPr>
        <w:t xml:space="preserve">книга учета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библиотекарь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стеллаж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издательства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16"/>
          <w:szCs w:val="16"/>
          <w:shd w:fill="f4cccc" w:val="clear"/>
        </w:rPr>
      </w:pPr>
      <w:r w:rsidDel="00000000" w:rsidR="00000000" w:rsidRPr="00000000">
        <w:rPr>
          <w:sz w:val="16"/>
          <w:szCs w:val="16"/>
          <w:u w:val="single"/>
          <w:shd w:fill="f4cccc" w:val="clear"/>
          <w:rtl w:val="0"/>
        </w:rPr>
        <w:t xml:space="preserve">издание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Сущности (выявленные в результате анализа):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книга учета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читатель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издание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 получения книги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 возврата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возвращена ли книга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читатель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№ читательского билета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Домашний адрес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книга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идентификационный номер книги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книги в каталоге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каталог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издания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 (газета, журнал, ...)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количество экземпляров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