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言语康复智能体康复评估算法重构方案</w:t>
      </w:r>
    </w:p>
    <w:p>
      <w:pPr>
        <w:spacing w:after="360"/>
        <w:jc w:val="center"/>
      </w:pPr>
      <w:r>
        <w:rPr>
          <w:i/>
        </w:rPr>
        <w:t>版本 1.0  后续开发参考依据</w:t>
      </w:r>
    </w:p>
    <w:p>
      <w:pPr>
        <w:pStyle w:val="Heading1"/>
      </w:pPr>
      <w:r>
        <w:t>结论与定位</w:t>
      </w:r>
    </w:p>
    <w:p>
      <w:r>
        <w:t>本项目应采用自动训练过程评估与治疗师阶段性标准化评估并行的双层体系。自动算法用于即时反馈、错误定位和纵向趋势，不能替代失语症、言语失用症或构音障碍的临床诊断。系统不再以单一总分掩盖数据来源、录音质量与模型不确定性，而应同时呈现原始指标、分项得分、质量状态、可信度、算法版本和治疗师复核状态。</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701"/>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层级</w:t>
            </w:r>
          </w:p>
        </w:tc>
        <w:tc>
          <w:tcPr>
            <w:tcW w:type="dxa" w:w="2268"/>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核心问题</w:t>
            </w:r>
          </w:p>
        </w:tc>
        <w:tc>
          <w:tcPr>
            <w:tcW w:type="dxa" w:w="2948"/>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主要数据</w:t>
            </w:r>
          </w:p>
        </w:tc>
        <w:tc>
          <w:tcPr>
            <w:tcW w:type="dxa" w:w="2721"/>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主要输出</w:t>
            </w:r>
          </w:p>
        </w:tc>
      </w:tr>
      <w:tr>
        <w:tc>
          <w:tcPr>
            <w:tcW w:type="dxa" w:w="1701"/>
            <w:vAlign w:val="center"/>
            <w:tcMar>
              <w:top w:w="100" w:type="dxa"/>
              <w:start w:w="120" w:type="dxa"/>
              <w:bottom w:w="100" w:type="dxa"/>
              <w:end w:w="120" w:type="dxa"/>
            </w:tcMar>
          </w:tcPr>
          <w:p>
            <w:pPr>
              <w:spacing w:after="0" w:line="276" w:lineRule="auto"/>
              <w:jc w:val="center"/>
            </w:pPr>
            <w:r/>
            <w:r>
              <w:rPr>
                <w:rFonts w:ascii="Arial" w:hAnsi="Arial" w:eastAsia="Microsoft YaHei"/>
                <w:b w:val="0"/>
                <w:color w:val="000000"/>
                <w:sz w:val="19"/>
              </w:rPr>
              <w:t>录音质量门控</w:t>
            </w:r>
          </w:p>
        </w:tc>
        <w:tc>
          <w:tcPr>
            <w:tcW w:type="dxa" w:w="2268"/>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本次录音是否可评分</w:t>
            </w:r>
          </w:p>
        </w:tc>
        <w:tc>
          <w:tcPr>
            <w:tcW w:type="dxa" w:w="2948"/>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音频信号与采集条件</w:t>
            </w:r>
          </w:p>
        </w:tc>
        <w:tc>
          <w:tcPr>
            <w:tcW w:type="dxa" w:w="2721"/>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可评分 低可信 不可评分</w:t>
            </w:r>
          </w:p>
        </w:tc>
      </w:tr>
      <w:tr>
        <w:tc>
          <w:tcPr>
            <w:tcW w:type="dxa" w:w="1701"/>
            <w:vAlign w:val="center"/>
            <w:tcMar>
              <w:top w:w="100" w:type="dxa"/>
              <w:start w:w="120" w:type="dxa"/>
              <w:bottom w:w="100" w:type="dxa"/>
              <w:end w:w="120" w:type="dxa"/>
            </w:tcMar>
            <w:shd w:fill="EAF2F8"/>
          </w:tcPr>
          <w:p>
            <w:pPr>
              <w:spacing w:after="0" w:line="276" w:lineRule="auto"/>
              <w:jc w:val="center"/>
            </w:pPr>
            <w:r/>
            <w:r>
              <w:rPr>
                <w:rFonts w:ascii="Arial" w:hAnsi="Arial" w:eastAsia="Microsoft YaHei"/>
                <w:b w:val="0"/>
                <w:color w:val="000000"/>
                <w:sz w:val="19"/>
              </w:rPr>
              <w:t>训练过程评估</w:t>
            </w:r>
          </w:p>
        </w:tc>
        <w:tc>
          <w:tcPr>
            <w:tcW w:type="dxa" w:w="2268"/>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这一次完成得怎样</w:t>
            </w:r>
          </w:p>
        </w:tc>
        <w:tc>
          <w:tcPr>
            <w:tcW w:type="dxa" w:w="2948"/>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ASR 声学特征 任务上下文</w:t>
            </w:r>
          </w:p>
        </w:tc>
        <w:tc>
          <w:tcPr>
            <w:tcW w:type="dxa" w:w="2721"/>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错误类型 分项指标 即时反馈</w:t>
            </w:r>
          </w:p>
        </w:tc>
      </w:tr>
      <w:tr>
        <w:tc>
          <w:tcPr>
            <w:tcW w:type="dxa" w:w="1701"/>
            <w:vAlign w:val="center"/>
            <w:tcMar>
              <w:top w:w="100" w:type="dxa"/>
              <w:start w:w="120" w:type="dxa"/>
              <w:bottom w:w="100" w:type="dxa"/>
              <w:end w:w="120" w:type="dxa"/>
            </w:tcMar>
          </w:tcPr>
          <w:p>
            <w:pPr>
              <w:spacing w:after="0" w:line="276" w:lineRule="auto"/>
              <w:jc w:val="center"/>
            </w:pPr>
            <w:r/>
            <w:r>
              <w:rPr>
                <w:rFonts w:ascii="Arial" w:hAnsi="Arial" w:eastAsia="Microsoft YaHei"/>
                <w:b w:val="0"/>
                <w:color w:val="000000"/>
                <w:sz w:val="19"/>
              </w:rPr>
              <w:t>阶段性评估</w:t>
            </w:r>
          </w:p>
        </w:tc>
        <w:tc>
          <w:tcPr>
            <w:tcW w:type="dxa" w:w="2268"/>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一段时间后是否变化</w:t>
            </w:r>
          </w:p>
        </w:tc>
        <w:tc>
          <w:tcPr>
            <w:tcW w:type="dxa" w:w="2948"/>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WAB CADL 可懂度 接受度</w:t>
            </w:r>
          </w:p>
        </w:tc>
        <w:tc>
          <w:tcPr>
            <w:tcW w:type="dxa" w:w="2721"/>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基线 复评 变化量</w:t>
            </w:r>
          </w:p>
        </w:tc>
      </w:tr>
      <w:tr>
        <w:tc>
          <w:tcPr>
            <w:tcW w:type="dxa" w:w="1701"/>
            <w:vAlign w:val="center"/>
            <w:tcMar>
              <w:top w:w="100" w:type="dxa"/>
              <w:start w:w="120" w:type="dxa"/>
              <w:bottom w:w="100" w:type="dxa"/>
              <w:end w:w="120" w:type="dxa"/>
            </w:tcMar>
            <w:shd w:fill="EAF2F8"/>
          </w:tcPr>
          <w:p>
            <w:pPr>
              <w:spacing w:after="0" w:line="276" w:lineRule="auto"/>
              <w:jc w:val="center"/>
            </w:pPr>
            <w:r/>
            <w:r>
              <w:rPr>
                <w:rFonts w:ascii="Arial" w:hAnsi="Arial" w:eastAsia="Microsoft YaHei"/>
                <w:b w:val="0"/>
                <w:color w:val="000000"/>
                <w:sz w:val="19"/>
              </w:rPr>
              <w:t>长期趋势</w:t>
            </w:r>
          </w:p>
        </w:tc>
        <w:tc>
          <w:tcPr>
            <w:tcW w:type="dxa" w:w="2268"/>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变化是否稳定并可解释</w:t>
            </w:r>
          </w:p>
        </w:tc>
        <w:tc>
          <w:tcPr>
            <w:tcW w:type="dxa" w:w="2948"/>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多次合格训练和阶段评估</w:t>
            </w:r>
          </w:p>
        </w:tc>
        <w:tc>
          <w:tcPr>
            <w:tcW w:type="dxa" w:w="2721"/>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趋势 波动 可信度</w:t>
            </w:r>
          </w:p>
        </w:tc>
      </w:tr>
    </w:tbl>
    <w:p>
      <w:pPr>
        <w:spacing w:after="0"/>
      </w:pPr>
    </w:p>
    <w:p>
      <w:pPr>
        <w:pStyle w:val="Heading1"/>
      </w:pPr>
      <w:r>
        <w:t>依据与适用边界</w:t>
      </w:r>
    </w:p>
    <w:p>
      <w:r>
        <w:t>参考材料将过程性监控定义为脚本正确生成率、错误事件、言语速率和响度，并将 WAB 自发言语与复述、CADL、可懂度以及喜好度和接受度用于训练前后比较。该框架可直接作为系统信息架构，但其中的临床量表必须由具备资质的人员按授权版本施测和解释，日常训练录音不能自动替代标准化量表。</w:t>
      </w:r>
    </w:p>
    <w:p>
      <w:pPr>
        <w:pStyle w:val="ListBullet"/>
      </w:pPr>
      <w:r>
        <w:t>脚本训练指标适用于跟读和熟悉脚本习得，不应直接外推为一般语言能力或诊断结论。</w:t>
      </w:r>
    </w:p>
    <w:p>
      <w:pPr>
        <w:pStyle w:val="ListBullet"/>
      </w:pPr>
      <w:r>
        <w:t>腾讯 ASR 可以提供转写文本，但不能单独判断音素歪曲、声调、构音位置或运动言语计划障碍。</w:t>
      </w:r>
    </w:p>
    <w:p>
      <w:pPr>
        <w:pStyle w:val="ListBullet"/>
      </w:pPr>
      <w:r>
        <w:t>手机麦克风未经声学校准时应报告相对响度 dBFS；只有完成设备、距离和环境校准后才报告 dBA 或 dB SPL。</w:t>
      </w:r>
    </w:p>
    <w:p>
      <w:pPr>
        <w:pStyle w:val="ListBullet"/>
      </w:pPr>
      <w:r>
        <w:t>阶段效果必须比较同一量表、同一版本、相近施测条件和匹配任务，不比较互不等价的记录。</w:t>
      </w:r>
    </w:p>
    <w:p>
      <w:pPr>
        <w:pStyle w:val="Heading1"/>
      </w:pPr>
      <w:r>
        <w:t>阶段一 可信评估底座</w:t>
      </w:r>
    </w:p>
    <w:p>
      <w:r>
        <w:t>目标是在任何自动评分之前先证明输入可用、来源真实、结果可追溯。</w:t>
      </w:r>
    </w:p>
    <w:p>
      <w:pPr>
        <w:pStyle w:val="ListNumber"/>
      </w:pPr>
      <w:r>
        <w:t>启用真实声学分析，记录总时长、有效发声时长、相对响度、停顿、削波比例、背景噪声估计和信噪比。</w:t>
      </w:r>
    </w:p>
    <w:p>
      <w:pPr>
        <w:pStyle w:val="ListNumber"/>
      </w:pPr>
      <w:r>
        <w:t>建立质量门控。无有效语音、过短、过轻、严重削波、低信噪比或 ASR 失败时不生成总分。</w:t>
      </w:r>
    </w:p>
    <w:p>
      <w:pPr>
        <w:pStyle w:val="ListNumber"/>
      </w:pPr>
      <w:r>
        <w:t>将自动规则结果标记为 system_rule，将云端模型结果标记为 provider_ai，不再把正式结果保存为 mock_ai。</w:t>
      </w:r>
    </w:p>
    <w:p>
      <w:pPr>
        <w:pStyle w:val="ListNumber"/>
      </w:pPr>
      <w:r>
        <w:t>在每次分析中保存算法版本、ASR provider、声学 provider、模型版本、质量原因和限制说明。</w:t>
      </w:r>
    </w:p>
    <w:p>
      <w:pPr>
        <w:pStyle w:val="ListNumber"/>
      </w:pPr>
      <w:r>
        <w:t>只有质量通过、真实 ASR、真实声学来源且指标完整的记录才能进入能力画像和趋势统计。</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701"/>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质量状态</w:t>
            </w:r>
          </w:p>
        </w:tc>
        <w:tc>
          <w:tcPr>
            <w:tcW w:type="dxa" w:w="4535"/>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判定示例</w:t>
            </w:r>
          </w:p>
        </w:tc>
        <w:tc>
          <w:tcPr>
            <w:tcW w:type="dxa" w:w="3402"/>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系统行为</w:t>
            </w:r>
          </w:p>
        </w:tc>
      </w:tr>
      <w:tr>
        <w:tc>
          <w:tcPr>
            <w:tcW w:type="dxa" w:w="1701"/>
            <w:vAlign w:val="center"/>
            <w:tcMar>
              <w:top w:w="100" w:type="dxa"/>
              <w:start w:w="120" w:type="dxa"/>
              <w:bottom w:w="100" w:type="dxa"/>
              <w:end w:w="120" w:type="dxa"/>
            </w:tcMar>
          </w:tcPr>
          <w:p>
            <w:pPr>
              <w:spacing w:after="0" w:line="276" w:lineRule="auto"/>
              <w:jc w:val="center"/>
            </w:pPr>
            <w:r/>
            <w:r>
              <w:rPr>
                <w:rFonts w:ascii="Arial" w:hAnsi="Arial" w:eastAsia="Microsoft YaHei"/>
                <w:b w:val="0"/>
                <w:color w:val="000000"/>
                <w:sz w:val="19"/>
              </w:rPr>
              <w:t>pass</w:t>
            </w:r>
          </w:p>
        </w:tc>
        <w:tc>
          <w:tcPr>
            <w:tcW w:type="dxa" w:w="4535"/>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有效语音充分且无明显采集问题</w:t>
            </w:r>
          </w:p>
        </w:tc>
        <w:tc>
          <w:tcPr>
            <w:tcW w:type="dxa" w:w="3402"/>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生成分项指标和总分 可进入趋势</w:t>
            </w:r>
          </w:p>
        </w:tc>
      </w:tr>
      <w:tr>
        <w:tc>
          <w:tcPr>
            <w:tcW w:type="dxa" w:w="1701"/>
            <w:vAlign w:val="center"/>
            <w:tcMar>
              <w:top w:w="100" w:type="dxa"/>
              <w:start w:w="120" w:type="dxa"/>
              <w:bottom w:w="100" w:type="dxa"/>
              <w:end w:w="120" w:type="dxa"/>
            </w:tcMar>
            <w:shd w:fill="EAF2F8"/>
          </w:tcPr>
          <w:p>
            <w:pPr>
              <w:spacing w:after="0" w:line="276" w:lineRule="auto"/>
              <w:jc w:val="center"/>
            </w:pPr>
            <w:r/>
            <w:r>
              <w:rPr>
                <w:rFonts w:ascii="Arial" w:hAnsi="Arial" w:eastAsia="Microsoft YaHei"/>
                <w:b w:val="0"/>
                <w:color w:val="000000"/>
                <w:sz w:val="19"/>
              </w:rPr>
              <w:t>low_quality</w:t>
            </w:r>
          </w:p>
        </w:tc>
        <w:tc>
          <w:tcPr>
            <w:tcW w:type="dxa" w:w="4535"/>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偏短 偏轻 轻度削波或信噪比较低</w:t>
            </w:r>
          </w:p>
        </w:tc>
        <w:tc>
          <w:tcPr>
            <w:tcW w:type="dxa" w:w="3402"/>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保留分析明细 不进入趋势 提示重录</w:t>
            </w:r>
          </w:p>
        </w:tc>
      </w:tr>
      <w:tr>
        <w:tc>
          <w:tcPr>
            <w:tcW w:type="dxa" w:w="1701"/>
            <w:vAlign w:val="center"/>
            <w:tcMar>
              <w:top w:w="100" w:type="dxa"/>
              <w:start w:w="120" w:type="dxa"/>
              <w:bottom w:w="100" w:type="dxa"/>
              <w:end w:w="120" w:type="dxa"/>
            </w:tcMar>
          </w:tcPr>
          <w:p>
            <w:pPr>
              <w:spacing w:after="0" w:line="276" w:lineRule="auto"/>
              <w:jc w:val="center"/>
            </w:pPr>
            <w:r/>
            <w:r>
              <w:rPr>
                <w:rFonts w:ascii="Arial" w:hAnsi="Arial" w:eastAsia="Microsoft YaHei"/>
                <w:b w:val="0"/>
                <w:color w:val="000000"/>
                <w:sz w:val="19"/>
              </w:rPr>
              <w:t>unusable</w:t>
            </w:r>
          </w:p>
        </w:tc>
        <w:tc>
          <w:tcPr>
            <w:tcW w:type="dxa" w:w="4535"/>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静音 无有效语音 解码失败或严重失真</w:t>
            </w:r>
          </w:p>
        </w:tc>
        <w:tc>
          <w:tcPr>
            <w:tcW w:type="dxa" w:w="3402"/>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不生成分数 明确说明原因</w:t>
            </w:r>
          </w:p>
        </w:tc>
      </w:tr>
    </w:tbl>
    <w:p>
      <w:pPr>
        <w:spacing w:after="0"/>
      </w:pPr>
    </w:p>
    <w:p>
      <w:pPr>
        <w:pStyle w:val="Heading1"/>
      </w:pPr>
      <w:r>
        <w:t>阶段二 跟读过程评估</w:t>
      </w:r>
    </w:p>
    <w:p>
      <w:r>
        <w:t>目标是将跟读评分从字符相似度升级为可解释的内容对齐、错误事件、流利效率和独立性评估。音素级构音评分属于下一阶段，在尚未接入发音评测模型前必须明确标记为未测量。</w:t>
      </w:r>
    </w:p>
    <w:p>
      <w:pPr>
        <w:pStyle w:val="Heading2"/>
      </w:pPr>
      <w:r>
        <w:t>内容准确性</w:t>
      </w:r>
    </w:p>
    <w:p>
      <w:pPr>
        <w:spacing w:before="100" w:after="140"/>
        <w:jc w:val="center"/>
      </w:pPr>
      <w:r>
        <w:rPr>
          <w:rFonts w:ascii="Consolas" w:hAnsi="Consolas"/>
          <w:b/>
          <w:sz w:val="20"/>
        </w:rPr>
        <w:t>文本正确率 = 正确目标字数 / 目标总字数 × 100%</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417"/>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指标</w:t>
            </w:r>
          </w:p>
        </w:tc>
        <w:tc>
          <w:tcPr>
            <w:tcW w:type="dxa" w:w="3969"/>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定义</w:t>
            </w:r>
          </w:p>
        </w:tc>
        <w:tc>
          <w:tcPr>
            <w:tcW w:type="dxa" w:w="4252"/>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输出要求</w:t>
            </w:r>
          </w:p>
        </w:tc>
      </w:tr>
      <w:tr>
        <w:tc>
          <w:tcPr>
            <w:tcW w:type="dxa" w:w="1417"/>
            <w:vAlign w:val="center"/>
            <w:tcMar>
              <w:top w:w="100" w:type="dxa"/>
              <w:start w:w="120" w:type="dxa"/>
              <w:bottom w:w="100" w:type="dxa"/>
              <w:end w:w="120" w:type="dxa"/>
            </w:tcMar>
          </w:tcPr>
          <w:p>
            <w:pPr>
              <w:spacing w:after="0" w:line="276" w:lineRule="auto"/>
              <w:jc w:val="center"/>
            </w:pPr>
            <w:r/>
            <w:r>
              <w:rPr>
                <w:rFonts w:ascii="Arial" w:hAnsi="Arial" w:eastAsia="Microsoft YaHei"/>
                <w:b w:val="0"/>
                <w:color w:val="000000"/>
                <w:sz w:val="19"/>
              </w:rPr>
              <w:t>遗漏</w:t>
            </w:r>
          </w:p>
        </w:tc>
        <w:tc>
          <w:tcPr>
            <w:tcW w:type="dxa" w:w="3969"/>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目标内容未在转写中出现</w:t>
            </w:r>
          </w:p>
        </w:tc>
        <w:tc>
          <w:tcPr>
            <w:tcW w:type="dxa" w:w="4252"/>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数量 比例 目标位置</w:t>
            </w:r>
          </w:p>
        </w:tc>
      </w:tr>
      <w:tr>
        <w:tc>
          <w:tcPr>
            <w:tcW w:type="dxa" w:w="1417"/>
            <w:vAlign w:val="center"/>
            <w:tcMar>
              <w:top w:w="100" w:type="dxa"/>
              <w:start w:w="120" w:type="dxa"/>
              <w:bottom w:w="100" w:type="dxa"/>
              <w:end w:w="120" w:type="dxa"/>
            </w:tcMar>
            <w:shd w:fill="EAF2F8"/>
          </w:tcPr>
          <w:p>
            <w:pPr>
              <w:spacing w:after="0" w:line="276" w:lineRule="auto"/>
              <w:jc w:val="center"/>
            </w:pPr>
            <w:r/>
            <w:r>
              <w:rPr>
                <w:rFonts w:ascii="Arial" w:hAnsi="Arial" w:eastAsia="Microsoft YaHei"/>
                <w:b w:val="0"/>
                <w:color w:val="000000"/>
                <w:sz w:val="19"/>
              </w:rPr>
              <w:t>替换</w:t>
            </w:r>
          </w:p>
        </w:tc>
        <w:tc>
          <w:tcPr>
            <w:tcW w:type="dxa" w:w="3969"/>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目标内容被其他内容替代</w:t>
            </w:r>
          </w:p>
        </w:tc>
        <w:tc>
          <w:tcPr>
            <w:tcW w:type="dxa" w:w="4252"/>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目标内容 实际内容 位置</w:t>
            </w:r>
          </w:p>
        </w:tc>
      </w:tr>
      <w:tr>
        <w:tc>
          <w:tcPr>
            <w:tcW w:type="dxa" w:w="1417"/>
            <w:vAlign w:val="center"/>
            <w:tcMar>
              <w:top w:w="100" w:type="dxa"/>
              <w:start w:w="120" w:type="dxa"/>
              <w:bottom w:w="100" w:type="dxa"/>
              <w:end w:w="120" w:type="dxa"/>
            </w:tcMar>
          </w:tcPr>
          <w:p>
            <w:pPr>
              <w:spacing w:after="0" w:line="276" w:lineRule="auto"/>
              <w:jc w:val="center"/>
            </w:pPr>
            <w:r/>
            <w:r>
              <w:rPr>
                <w:rFonts w:ascii="Arial" w:hAnsi="Arial" w:eastAsia="Microsoft YaHei"/>
                <w:b w:val="0"/>
                <w:color w:val="000000"/>
                <w:sz w:val="19"/>
              </w:rPr>
              <w:t>添加</w:t>
            </w:r>
          </w:p>
        </w:tc>
        <w:tc>
          <w:tcPr>
            <w:tcW w:type="dxa" w:w="3969"/>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转写出现目标以外内容</w:t>
            </w:r>
          </w:p>
        </w:tc>
        <w:tc>
          <w:tcPr>
            <w:tcW w:type="dxa" w:w="4252"/>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添加内容 转写位置</w:t>
            </w:r>
          </w:p>
        </w:tc>
      </w:tr>
      <w:tr>
        <w:tc>
          <w:tcPr>
            <w:tcW w:type="dxa" w:w="1417"/>
            <w:vAlign w:val="center"/>
            <w:tcMar>
              <w:top w:w="100" w:type="dxa"/>
              <w:start w:w="120" w:type="dxa"/>
              <w:bottom w:w="100" w:type="dxa"/>
              <w:end w:w="120" w:type="dxa"/>
            </w:tcMar>
            <w:shd w:fill="EAF2F8"/>
          </w:tcPr>
          <w:p>
            <w:pPr>
              <w:spacing w:after="0" w:line="276" w:lineRule="auto"/>
              <w:jc w:val="center"/>
            </w:pPr>
            <w:r/>
            <w:r>
              <w:rPr>
                <w:rFonts w:ascii="Arial" w:hAnsi="Arial" w:eastAsia="Microsoft YaHei"/>
                <w:b w:val="0"/>
                <w:color w:val="000000"/>
                <w:sz w:val="19"/>
              </w:rPr>
              <w:t>关键词覆盖</w:t>
            </w:r>
          </w:p>
        </w:tc>
        <w:tc>
          <w:tcPr>
            <w:tcW w:type="dxa" w:w="3969"/>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任务配置中的关键词被正确表达</w:t>
            </w:r>
          </w:p>
        </w:tc>
        <w:tc>
          <w:tcPr>
            <w:tcW w:type="dxa" w:w="4252"/>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命中列表 缺失列表 覆盖率</w:t>
            </w:r>
          </w:p>
        </w:tc>
      </w:tr>
    </w:tbl>
    <w:p>
      <w:pPr>
        <w:spacing w:after="0"/>
      </w:pPr>
    </w:p>
    <w:p>
      <w:pPr>
        <w:pStyle w:val="Heading2"/>
      </w:pPr>
      <w:r>
        <w:t>错误事件</w:t>
      </w:r>
    </w:p>
    <w:p>
      <w:pPr>
        <w:pStyle w:val="ListBullet"/>
      </w:pPr>
      <w:r>
        <w:t>插入语：呃、啊、嗯等非任务性填充。</w:t>
      </w:r>
    </w:p>
    <w:p>
      <w:pPr>
        <w:pStyle w:val="ListBullet"/>
      </w:pPr>
      <w:r>
        <w:t>无意义重复：连续重复单字、词或短语，不把有语义的叠词误判为错误。</w:t>
      </w:r>
    </w:p>
    <w:p>
      <w:pPr>
        <w:pStyle w:val="ListBullet"/>
      </w:pPr>
      <w:r>
        <w:t>自我修正：重复前一片段后改说新内容，与纯重复分开计数。</w:t>
      </w:r>
    </w:p>
    <w:p>
      <w:pPr>
        <w:pStyle w:val="ListBullet"/>
      </w:pPr>
      <w:r>
        <w:t>长停顿：分别记录超过 1 秒和超过 3 秒的停顿，并保存最长停顿和总停顿占比。</w:t>
      </w:r>
    </w:p>
    <w:p>
      <w:pPr>
        <w:pStyle w:val="ListBullet"/>
      </w:pPr>
      <w:r>
        <w:t>不可懂事件：仅在可靠的发音评测或人工复核支持时记录，不能把 ASR 空结果直接等同于构音错误。</w:t>
      </w:r>
    </w:p>
    <w:p>
      <w:pPr>
        <w:pStyle w:val="Heading2"/>
      </w:pPr>
      <w:r>
        <w:t>流利效率</w:t>
      </w:r>
    </w:p>
    <w:p>
      <w:pPr>
        <w:spacing w:before="100" w:after="140"/>
        <w:jc w:val="center"/>
      </w:pPr>
      <w:r>
        <w:rPr>
          <w:rFonts w:ascii="Consolas" w:hAnsi="Consolas"/>
          <w:b/>
          <w:sz w:val="20"/>
        </w:rPr>
        <w:t>表达速率 = 有效交流字数 / 整段任务时长 × 60</w:t>
      </w:r>
    </w:p>
    <w:p>
      <w:pPr>
        <w:spacing w:before="100" w:after="140"/>
        <w:jc w:val="center"/>
      </w:pPr>
      <w:r>
        <w:rPr>
          <w:rFonts w:ascii="Consolas" w:hAnsi="Consolas"/>
          <w:b/>
          <w:sz w:val="20"/>
        </w:rPr>
        <w:t>发音速率 = 有效交流字数 / 有效发声时长 × 60</w:t>
      </w:r>
    </w:p>
    <w:p>
      <w:pPr>
        <w:spacing w:before="100" w:after="140"/>
        <w:jc w:val="center"/>
      </w:pPr>
      <w:r>
        <w:rPr>
          <w:rFonts w:ascii="Consolas" w:hAnsi="Consolas"/>
          <w:b/>
          <w:sz w:val="20"/>
        </w:rPr>
        <w:t>停顿占比 = 内部停顿总时长 / 整段任务时长 × 100%</w:t>
      </w:r>
    </w:p>
    <w:p>
      <w:r>
        <w:t>有效交流字数排除插入语、无意义重复和被放弃的自我修正片段。系统同时展示表达速率和发音速率，避免患者通过长时间静默后快速说完而获得误导性结果。</w:t>
      </w:r>
    </w:p>
    <w:p>
      <w:pPr>
        <w:pStyle w:val="Heading2"/>
      </w:pPr>
      <w:r>
        <w:t>独立性</w:t>
      </w:r>
    </w:p>
    <w:p>
      <w:r>
        <w:t>独立性使用已有 prompt_level、requested_help 和 start_latency_ms 计算。初始规则只作为工程基线，后续必须由治疗师标注数据校准。</w:t>
      </w:r>
    </w:p>
    <w:p>
      <w:pPr>
        <w:spacing w:before="100" w:after="140"/>
        <w:jc w:val="center"/>
      </w:pPr>
      <w:r>
        <w:rPr>
          <w:rFonts w:ascii="Consolas" w:hAnsi="Consolas"/>
          <w:b/>
          <w:sz w:val="20"/>
        </w:rPr>
        <w:t>独立性 = 100 − 提示等级扣分 − 主动求助扣分 − 异常启动延迟扣分</w:t>
      </w:r>
    </w:p>
    <w:p>
      <w:pPr>
        <w:pStyle w:val="Heading2"/>
      </w:pPr>
      <w:r>
        <w:t>评分输出</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701"/>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跟读维度</w:t>
            </w:r>
          </w:p>
        </w:tc>
        <w:tc>
          <w:tcPr>
            <w:tcW w:type="dxa" w:w="1361"/>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初始权重</w:t>
            </w:r>
          </w:p>
        </w:tc>
        <w:tc>
          <w:tcPr>
            <w:tcW w:type="dxa" w:w="1474"/>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当前可实现</w:t>
            </w:r>
          </w:p>
        </w:tc>
        <w:tc>
          <w:tcPr>
            <w:tcW w:type="dxa" w:w="5102"/>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说明</w:t>
            </w:r>
          </w:p>
        </w:tc>
      </w:tr>
      <w:tr>
        <w:tc>
          <w:tcPr>
            <w:tcW w:type="dxa" w:w="1701"/>
            <w:vAlign w:val="center"/>
            <w:tcMar>
              <w:top w:w="100" w:type="dxa"/>
              <w:start w:w="120" w:type="dxa"/>
              <w:bottom w:w="100" w:type="dxa"/>
              <w:end w:w="120" w:type="dxa"/>
            </w:tcMar>
          </w:tcPr>
          <w:p>
            <w:pPr>
              <w:spacing w:after="0" w:line="276" w:lineRule="auto"/>
              <w:jc w:val="center"/>
            </w:pPr>
            <w:r/>
            <w:r>
              <w:rPr>
                <w:rFonts w:ascii="Arial" w:hAnsi="Arial" w:eastAsia="Microsoft YaHei"/>
                <w:b w:val="0"/>
                <w:color w:val="000000"/>
                <w:sz w:val="19"/>
              </w:rPr>
              <w:t>内容准确性</w:t>
            </w:r>
          </w:p>
        </w:tc>
        <w:tc>
          <w:tcPr>
            <w:tcW w:type="dxa" w:w="1361"/>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45%</w:t>
            </w:r>
          </w:p>
        </w:tc>
        <w:tc>
          <w:tcPr>
            <w:tcW w:type="dxa" w:w="1474"/>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是</w:t>
            </w:r>
          </w:p>
        </w:tc>
        <w:tc>
          <w:tcPr>
            <w:tcW w:type="dxa" w:w="5102"/>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正确率和遗漏 替换 添加</w:t>
            </w:r>
          </w:p>
        </w:tc>
      </w:tr>
      <w:tr>
        <w:tc>
          <w:tcPr>
            <w:tcW w:type="dxa" w:w="1701"/>
            <w:vAlign w:val="center"/>
            <w:tcMar>
              <w:top w:w="100" w:type="dxa"/>
              <w:start w:w="120" w:type="dxa"/>
              <w:bottom w:w="100" w:type="dxa"/>
              <w:end w:w="120" w:type="dxa"/>
            </w:tcMar>
            <w:shd w:fill="EAF2F8"/>
          </w:tcPr>
          <w:p>
            <w:pPr>
              <w:spacing w:after="0" w:line="276" w:lineRule="auto"/>
              <w:jc w:val="center"/>
            </w:pPr>
            <w:r/>
            <w:r>
              <w:rPr>
                <w:rFonts w:ascii="Arial" w:hAnsi="Arial" w:eastAsia="Microsoft YaHei"/>
                <w:b w:val="0"/>
                <w:color w:val="000000"/>
                <w:sz w:val="19"/>
              </w:rPr>
              <w:t>流利效率</w:t>
            </w:r>
          </w:p>
        </w:tc>
        <w:tc>
          <w:tcPr>
            <w:tcW w:type="dxa" w:w="1361"/>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25%</w:t>
            </w:r>
          </w:p>
        </w:tc>
        <w:tc>
          <w:tcPr>
            <w:tcW w:type="dxa" w:w="1474"/>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是</w:t>
            </w:r>
          </w:p>
        </w:tc>
        <w:tc>
          <w:tcPr>
            <w:tcW w:type="dxa" w:w="5102"/>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表达速率 发音速率 停顿</w:t>
            </w:r>
          </w:p>
        </w:tc>
      </w:tr>
      <w:tr>
        <w:tc>
          <w:tcPr>
            <w:tcW w:type="dxa" w:w="1701"/>
            <w:vAlign w:val="center"/>
            <w:tcMar>
              <w:top w:w="100" w:type="dxa"/>
              <w:start w:w="120" w:type="dxa"/>
              <w:bottom w:w="100" w:type="dxa"/>
              <w:end w:w="120" w:type="dxa"/>
            </w:tcMar>
          </w:tcPr>
          <w:p>
            <w:pPr>
              <w:spacing w:after="0" w:line="276" w:lineRule="auto"/>
              <w:jc w:val="center"/>
            </w:pPr>
            <w:r/>
            <w:r>
              <w:rPr>
                <w:rFonts w:ascii="Arial" w:hAnsi="Arial" w:eastAsia="Microsoft YaHei"/>
                <w:b w:val="0"/>
                <w:color w:val="000000"/>
                <w:sz w:val="19"/>
              </w:rPr>
              <w:t>错误控制</w:t>
            </w:r>
          </w:p>
        </w:tc>
        <w:tc>
          <w:tcPr>
            <w:tcW w:type="dxa" w:w="1361"/>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15%</w:t>
            </w:r>
          </w:p>
        </w:tc>
        <w:tc>
          <w:tcPr>
            <w:tcW w:type="dxa" w:w="1474"/>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是</w:t>
            </w:r>
          </w:p>
        </w:tc>
        <w:tc>
          <w:tcPr>
            <w:tcW w:type="dxa" w:w="5102"/>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插入语 重复 自我修正 长停顿</w:t>
            </w:r>
          </w:p>
        </w:tc>
      </w:tr>
      <w:tr>
        <w:tc>
          <w:tcPr>
            <w:tcW w:type="dxa" w:w="1701"/>
            <w:vAlign w:val="center"/>
            <w:tcMar>
              <w:top w:w="100" w:type="dxa"/>
              <w:start w:w="120" w:type="dxa"/>
              <w:bottom w:w="100" w:type="dxa"/>
              <w:end w:w="120" w:type="dxa"/>
            </w:tcMar>
            <w:shd w:fill="EAF2F8"/>
          </w:tcPr>
          <w:p>
            <w:pPr>
              <w:spacing w:after="0" w:line="276" w:lineRule="auto"/>
              <w:jc w:val="center"/>
            </w:pPr>
            <w:r/>
            <w:r>
              <w:rPr>
                <w:rFonts w:ascii="Arial" w:hAnsi="Arial" w:eastAsia="Microsoft YaHei"/>
                <w:b w:val="0"/>
                <w:color w:val="000000"/>
                <w:sz w:val="19"/>
              </w:rPr>
              <w:t>声音表现</w:t>
            </w:r>
          </w:p>
        </w:tc>
        <w:tc>
          <w:tcPr>
            <w:tcW w:type="dxa" w:w="1361"/>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10%</w:t>
            </w:r>
          </w:p>
        </w:tc>
        <w:tc>
          <w:tcPr>
            <w:tcW w:type="dxa" w:w="1474"/>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部分</w:t>
            </w:r>
          </w:p>
        </w:tc>
        <w:tc>
          <w:tcPr>
            <w:tcW w:type="dxa" w:w="5102"/>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相对响度和稳定性 不冒充临床 dBA</w:t>
            </w:r>
          </w:p>
        </w:tc>
      </w:tr>
      <w:tr>
        <w:tc>
          <w:tcPr>
            <w:tcW w:type="dxa" w:w="1701"/>
            <w:vAlign w:val="center"/>
            <w:tcMar>
              <w:top w:w="100" w:type="dxa"/>
              <w:start w:w="120" w:type="dxa"/>
              <w:bottom w:w="100" w:type="dxa"/>
              <w:end w:w="120" w:type="dxa"/>
            </w:tcMar>
          </w:tcPr>
          <w:p>
            <w:pPr>
              <w:spacing w:after="0" w:line="276" w:lineRule="auto"/>
              <w:jc w:val="center"/>
            </w:pPr>
            <w:r/>
            <w:r>
              <w:rPr>
                <w:rFonts w:ascii="Arial" w:hAnsi="Arial" w:eastAsia="Microsoft YaHei"/>
                <w:b w:val="0"/>
                <w:color w:val="000000"/>
                <w:sz w:val="19"/>
              </w:rPr>
              <w:t>独立性</w:t>
            </w:r>
          </w:p>
        </w:tc>
        <w:tc>
          <w:tcPr>
            <w:tcW w:type="dxa" w:w="1361"/>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5%</w:t>
            </w:r>
          </w:p>
        </w:tc>
        <w:tc>
          <w:tcPr>
            <w:tcW w:type="dxa" w:w="1474"/>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是</w:t>
            </w:r>
          </w:p>
        </w:tc>
        <w:tc>
          <w:tcPr>
            <w:tcW w:type="dxa" w:w="5102"/>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提示 求助 启动延迟</w:t>
            </w:r>
          </w:p>
        </w:tc>
      </w:tr>
    </w:tbl>
    <w:p>
      <w:pPr>
        <w:spacing w:after="0"/>
      </w:pPr>
    </w:p>
    <w:p>
      <w:r>
        <w:t>上述权重是待验证的工程初值。界面必须优先展示分项指标与错误证据，总分仅用于同任务、同条件下的趋势反馈。</w:t>
      </w:r>
    </w:p>
    <w:p>
      <w:pPr>
        <w:pStyle w:val="Heading1"/>
      </w:pPr>
      <w:r>
        <w:t>阶段性康复效果评估</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701"/>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工具或维度</w:t>
            </w:r>
          </w:p>
        </w:tc>
        <w:tc>
          <w:tcPr>
            <w:tcW w:type="dxa" w:w="4252"/>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使用方式</w:t>
            </w:r>
          </w:p>
        </w:tc>
        <w:tc>
          <w:tcPr>
            <w:tcW w:type="dxa" w:w="3685"/>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自动化边界</w:t>
            </w:r>
          </w:p>
        </w:tc>
      </w:tr>
      <w:tr>
        <w:tc>
          <w:tcPr>
            <w:tcW w:type="dxa" w:w="1701"/>
            <w:vAlign w:val="center"/>
            <w:tcMar>
              <w:top w:w="100" w:type="dxa"/>
              <w:start w:w="120" w:type="dxa"/>
              <w:bottom w:w="100" w:type="dxa"/>
              <w:end w:w="120" w:type="dxa"/>
            </w:tcMar>
          </w:tcPr>
          <w:p>
            <w:pPr>
              <w:spacing w:after="0" w:line="276" w:lineRule="auto"/>
              <w:jc w:val="center"/>
            </w:pPr>
            <w:r/>
            <w:r>
              <w:rPr>
                <w:rFonts w:ascii="Arial" w:hAnsi="Arial" w:eastAsia="Microsoft YaHei"/>
                <w:b w:val="0"/>
                <w:color w:val="000000"/>
                <w:sz w:val="19"/>
              </w:rPr>
              <w:t>WAB</w:t>
            </w:r>
          </w:p>
        </w:tc>
        <w:tc>
          <w:tcPr>
            <w:tcW w:type="dxa" w:w="4252"/>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治疗师按授权版本施测并录入原始分和分量表分</w:t>
            </w:r>
          </w:p>
        </w:tc>
        <w:tc>
          <w:tcPr>
            <w:tcW w:type="dxa" w:w="3685"/>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系统仅计算同版本前后变化 不自动诊断</w:t>
            </w:r>
          </w:p>
        </w:tc>
      </w:tr>
      <w:tr>
        <w:tc>
          <w:tcPr>
            <w:tcW w:type="dxa" w:w="1701"/>
            <w:vAlign w:val="center"/>
            <w:tcMar>
              <w:top w:w="100" w:type="dxa"/>
              <w:start w:w="120" w:type="dxa"/>
              <w:bottom w:w="100" w:type="dxa"/>
              <w:end w:w="120" w:type="dxa"/>
            </w:tcMar>
            <w:shd w:fill="EAF2F8"/>
          </w:tcPr>
          <w:p>
            <w:pPr>
              <w:spacing w:after="0" w:line="276" w:lineRule="auto"/>
              <w:jc w:val="center"/>
            </w:pPr>
            <w:r/>
            <w:r>
              <w:rPr>
                <w:rFonts w:ascii="Arial" w:hAnsi="Arial" w:eastAsia="Microsoft YaHei"/>
                <w:b w:val="0"/>
                <w:color w:val="000000"/>
                <w:sz w:val="19"/>
              </w:rPr>
              <w:t>CADL</w:t>
            </w:r>
          </w:p>
        </w:tc>
        <w:tc>
          <w:tcPr>
            <w:tcW w:type="dxa" w:w="4252"/>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评估日常生活交流活动表现</w:t>
            </w:r>
          </w:p>
        </w:tc>
        <w:tc>
          <w:tcPr>
            <w:tcW w:type="dxa" w:w="3685"/>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保存条目分 总分和施测条件</w:t>
            </w:r>
          </w:p>
        </w:tc>
      </w:tr>
      <w:tr>
        <w:tc>
          <w:tcPr>
            <w:tcW w:type="dxa" w:w="1701"/>
            <w:vAlign w:val="center"/>
            <w:tcMar>
              <w:top w:w="100" w:type="dxa"/>
              <w:start w:w="120" w:type="dxa"/>
              <w:bottom w:w="100" w:type="dxa"/>
              <w:end w:w="120" w:type="dxa"/>
            </w:tcMar>
          </w:tcPr>
          <w:p>
            <w:pPr>
              <w:spacing w:after="0" w:line="276" w:lineRule="auto"/>
              <w:jc w:val="center"/>
            </w:pPr>
            <w:r/>
            <w:r>
              <w:rPr>
                <w:rFonts w:ascii="Arial" w:hAnsi="Arial" w:eastAsia="Microsoft YaHei"/>
                <w:b w:val="0"/>
                <w:color w:val="000000"/>
                <w:sz w:val="19"/>
              </w:rPr>
              <w:t>可懂度</w:t>
            </w:r>
          </w:p>
        </w:tc>
        <w:tc>
          <w:tcPr>
            <w:tcW w:type="dxa" w:w="4252"/>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熟悉或陌生听者转写后计算正确理解比例</w:t>
            </w:r>
          </w:p>
        </w:tc>
        <w:tc>
          <w:tcPr>
            <w:tcW w:type="dxa" w:w="3685"/>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自动估计必须标注可信度</w:t>
            </w:r>
          </w:p>
        </w:tc>
      </w:tr>
      <w:tr>
        <w:tc>
          <w:tcPr>
            <w:tcW w:type="dxa" w:w="1701"/>
            <w:vAlign w:val="center"/>
            <w:tcMar>
              <w:top w:w="100" w:type="dxa"/>
              <w:start w:w="120" w:type="dxa"/>
              <w:bottom w:w="100" w:type="dxa"/>
              <w:end w:w="120" w:type="dxa"/>
            </w:tcMar>
            <w:shd w:fill="EAF2F8"/>
          </w:tcPr>
          <w:p>
            <w:pPr>
              <w:spacing w:after="0" w:line="276" w:lineRule="auto"/>
              <w:jc w:val="center"/>
            </w:pPr>
            <w:r/>
            <w:r>
              <w:rPr>
                <w:rFonts w:ascii="Arial" w:hAnsi="Arial" w:eastAsia="Microsoft YaHei"/>
                <w:b w:val="0"/>
                <w:color w:val="000000"/>
                <w:sz w:val="19"/>
              </w:rPr>
              <w:t>喜好与接受度</w:t>
            </w:r>
          </w:p>
        </w:tc>
        <w:tc>
          <w:tcPr>
            <w:tcW w:type="dxa" w:w="4252"/>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患者或家属填写简短量表</w:t>
            </w:r>
          </w:p>
        </w:tc>
        <w:tc>
          <w:tcPr>
            <w:tcW w:type="dxa" w:w="3685"/>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与语言功能得分分开呈现</w:t>
            </w:r>
          </w:p>
        </w:tc>
      </w:tr>
    </w:tbl>
    <w:p>
      <w:pPr>
        <w:spacing w:after="0"/>
      </w:pPr>
    </w:p>
    <w:p>
      <w:r>
        <w:t>前后测记录必须保存量表名称、版本、阶段、施测者、日期、设备和环境、原始条目分、分量表分、总分、复核状态与备注。没有经过验证的最小临床重要差异时，报告只描述变化量和趋势，不自动使用显著改善等临床判断。</w:t>
      </w:r>
    </w:p>
    <w:p>
      <w:pPr>
        <w:pStyle w:val="Heading1"/>
      </w:pPr>
      <w:r>
        <w:t>数据结构与审计要求</w:t>
      </w:r>
    </w:p>
    <w:p>
      <w:pPr>
        <w:pStyle w:val="ListBullet"/>
      </w:pPr>
      <w:r>
        <w:t>AttemptAnalysisResult 保存原始模型输出、标准化音频属性、质量明细、过程指标和算法版本。</w:t>
      </w:r>
    </w:p>
    <w:p>
      <w:pPr>
        <w:pStyle w:val="ListBullet"/>
      </w:pPr>
      <w:r>
        <w:t>AttemptEvaluation 保存指标值与来源；新增 system_rule 和 provider_ai，保留 human 与 clinician。</w:t>
      </w:r>
    </w:p>
    <w:p>
      <w:pPr>
        <w:pStyle w:val="ListBullet"/>
      </w:pPr>
      <w:r>
        <w:t>AttemptScore 保存任务类型、评分版本、权重快照、是否可评分和置信度，避免算法升级后新旧分数混用。</w:t>
      </w:r>
    </w:p>
    <w:p>
      <w:pPr>
        <w:pStyle w:val="ListBullet"/>
      </w:pPr>
      <w:r>
        <w:t>AssessmentSession 保存量表元数据、原始条目与治疗师复核，不与日常训练 attempt 自动混为同一记录。</w:t>
      </w:r>
    </w:p>
    <w:p>
      <w:pPr>
        <w:pStyle w:val="ListBullet"/>
      </w:pPr>
      <w:r>
        <w:t>治疗师调整自动指标时保留原值、调整值、调整人、时间和原因。</w:t>
      </w:r>
    </w:p>
    <w:p>
      <w:pPr>
        <w:pStyle w:val="Heading1"/>
      </w:pPr>
      <w:r>
        <w:t>实施路线</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trPr>
        <w:tc>
          <w:tcPr>
            <w:tcW w:type="dxa" w:w="1247"/>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阶段</w:t>
            </w:r>
          </w:p>
        </w:tc>
        <w:tc>
          <w:tcPr>
            <w:tcW w:type="dxa" w:w="4195"/>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主要交付</w:t>
            </w:r>
          </w:p>
        </w:tc>
        <w:tc>
          <w:tcPr>
            <w:tcW w:type="dxa" w:w="4195"/>
            <w:vAlign w:val="center"/>
            <w:tcMar>
              <w:top w:w="100" w:type="dxa"/>
              <w:start w:w="120" w:type="dxa"/>
              <w:bottom w:w="100" w:type="dxa"/>
              <w:end w:w="120" w:type="dxa"/>
            </w:tcMar>
            <w:shd w:fill="1F4E78"/>
          </w:tcPr>
          <w:p>
            <w:pPr>
              <w:spacing w:after="0" w:line="276" w:lineRule="auto"/>
              <w:jc w:val="center"/>
            </w:pPr>
            <w:r/>
            <w:r>
              <w:rPr>
                <w:rFonts w:ascii="Arial" w:hAnsi="Arial" w:eastAsia="Microsoft YaHei"/>
                <w:b/>
                <w:color w:val="FFFFFF"/>
                <w:sz w:val="19"/>
              </w:rPr>
              <w:t>完成标准</w:t>
            </w:r>
          </w:p>
        </w:tc>
      </w:tr>
      <w:tr>
        <w:tc>
          <w:tcPr>
            <w:tcW w:type="dxa" w:w="1247"/>
            <w:vAlign w:val="center"/>
            <w:tcMar>
              <w:top w:w="100" w:type="dxa"/>
              <w:start w:w="120" w:type="dxa"/>
              <w:bottom w:w="100" w:type="dxa"/>
              <w:end w:w="120" w:type="dxa"/>
            </w:tcMar>
          </w:tcPr>
          <w:p>
            <w:pPr>
              <w:spacing w:after="0" w:line="276" w:lineRule="auto"/>
              <w:jc w:val="center"/>
            </w:pPr>
            <w:r/>
            <w:r>
              <w:rPr>
                <w:rFonts w:ascii="Arial" w:hAnsi="Arial" w:eastAsia="Microsoft YaHei"/>
                <w:b w:val="0"/>
                <w:color w:val="000000"/>
                <w:sz w:val="19"/>
              </w:rPr>
              <w:t>阶段一</w:t>
            </w:r>
          </w:p>
        </w:tc>
        <w:tc>
          <w:tcPr>
            <w:tcW w:type="dxa" w:w="4195"/>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质量门控 来源类型 算法版本 真实声学数据 趋势准入</w:t>
            </w:r>
          </w:p>
        </w:tc>
        <w:tc>
          <w:tcPr>
            <w:tcW w:type="dxa" w:w="4195"/>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无效录音不评分 mock 不进入正式统计 全链路可追溯</w:t>
            </w:r>
          </w:p>
        </w:tc>
      </w:tr>
      <w:tr>
        <w:tc>
          <w:tcPr>
            <w:tcW w:type="dxa" w:w="1247"/>
            <w:vAlign w:val="center"/>
            <w:tcMar>
              <w:top w:w="100" w:type="dxa"/>
              <w:start w:w="120" w:type="dxa"/>
              <w:bottom w:w="100" w:type="dxa"/>
              <w:end w:w="120" w:type="dxa"/>
            </w:tcMar>
            <w:shd w:fill="EAF2F8"/>
          </w:tcPr>
          <w:p>
            <w:pPr>
              <w:spacing w:after="0" w:line="276" w:lineRule="auto"/>
              <w:jc w:val="center"/>
            </w:pPr>
            <w:r/>
            <w:r>
              <w:rPr>
                <w:rFonts w:ascii="Arial" w:hAnsi="Arial" w:eastAsia="Microsoft YaHei"/>
                <w:b w:val="0"/>
                <w:color w:val="000000"/>
                <w:sz w:val="19"/>
              </w:rPr>
              <w:t>阶段二</w:t>
            </w:r>
          </w:p>
        </w:tc>
        <w:tc>
          <w:tcPr>
            <w:tcW w:type="dxa" w:w="4195"/>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对齐事件 有效语速 停顿 重复 自我修正 独立性 任务权重</w:t>
            </w:r>
          </w:p>
        </w:tc>
        <w:tc>
          <w:tcPr>
            <w:tcW w:type="dxa" w:w="4195"/>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不同录音产生可解释差异 每项有单元测试和边界测试</w:t>
            </w:r>
          </w:p>
        </w:tc>
      </w:tr>
      <w:tr>
        <w:tc>
          <w:tcPr>
            <w:tcW w:type="dxa" w:w="1247"/>
            <w:vAlign w:val="center"/>
            <w:tcMar>
              <w:top w:w="100" w:type="dxa"/>
              <w:start w:w="120" w:type="dxa"/>
              <w:bottom w:w="100" w:type="dxa"/>
              <w:end w:w="120" w:type="dxa"/>
            </w:tcMar>
          </w:tcPr>
          <w:p>
            <w:pPr>
              <w:spacing w:after="0" w:line="276" w:lineRule="auto"/>
              <w:jc w:val="center"/>
            </w:pPr>
            <w:r/>
            <w:r>
              <w:rPr>
                <w:rFonts w:ascii="Arial" w:hAnsi="Arial" w:eastAsia="Microsoft YaHei"/>
                <w:b w:val="0"/>
                <w:color w:val="000000"/>
                <w:sz w:val="19"/>
              </w:rPr>
              <w:t>阶段三</w:t>
            </w:r>
          </w:p>
        </w:tc>
        <w:tc>
          <w:tcPr>
            <w:tcW w:type="dxa" w:w="4195"/>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音素级发音 韵律 可懂度估计 治疗师校正</w:t>
            </w:r>
          </w:p>
        </w:tc>
        <w:tc>
          <w:tcPr>
            <w:tcW w:type="dxa" w:w="4195"/>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与治疗师标注完成一致性验证</w:t>
            </w:r>
          </w:p>
        </w:tc>
      </w:tr>
      <w:tr>
        <w:tc>
          <w:tcPr>
            <w:tcW w:type="dxa" w:w="1247"/>
            <w:vAlign w:val="center"/>
            <w:tcMar>
              <w:top w:w="100" w:type="dxa"/>
              <w:start w:w="120" w:type="dxa"/>
              <w:bottom w:w="100" w:type="dxa"/>
              <w:end w:w="120" w:type="dxa"/>
            </w:tcMar>
            <w:shd w:fill="EAF2F8"/>
          </w:tcPr>
          <w:p>
            <w:pPr>
              <w:spacing w:after="0" w:line="276" w:lineRule="auto"/>
              <w:jc w:val="center"/>
            </w:pPr>
            <w:r/>
            <w:r>
              <w:rPr>
                <w:rFonts w:ascii="Arial" w:hAnsi="Arial" w:eastAsia="Microsoft YaHei"/>
                <w:b w:val="0"/>
                <w:color w:val="000000"/>
                <w:sz w:val="19"/>
              </w:rPr>
              <w:t>阶段四</w:t>
            </w:r>
          </w:p>
        </w:tc>
        <w:tc>
          <w:tcPr>
            <w:tcW w:type="dxa" w:w="4195"/>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WAB CADL 接受度规范录入和同量表比较</w:t>
            </w:r>
          </w:p>
        </w:tc>
        <w:tc>
          <w:tcPr>
            <w:tcW w:type="dxa" w:w="4195"/>
            <w:vAlign w:val="center"/>
            <w:tcMar>
              <w:top w:w="100" w:type="dxa"/>
              <w:start w:w="120" w:type="dxa"/>
              <w:bottom w:w="100" w:type="dxa"/>
              <w:end w:w="120" w:type="dxa"/>
            </w:tcMar>
            <w:shd w:fill="EAF2F8"/>
          </w:tcPr>
          <w:p>
            <w:pPr>
              <w:spacing w:after="0" w:line="276" w:lineRule="auto"/>
              <w:jc w:val="left"/>
            </w:pPr>
            <w:r/>
            <w:r>
              <w:rPr>
                <w:rFonts w:ascii="Arial" w:hAnsi="Arial" w:eastAsia="Microsoft YaHei"/>
                <w:b w:val="0"/>
                <w:color w:val="000000"/>
                <w:sz w:val="19"/>
              </w:rPr>
              <w:t>前后测来源明确 比较条件匹配 可审计</w:t>
            </w:r>
          </w:p>
        </w:tc>
      </w:tr>
      <w:tr>
        <w:tc>
          <w:tcPr>
            <w:tcW w:type="dxa" w:w="1247"/>
            <w:vAlign w:val="center"/>
            <w:tcMar>
              <w:top w:w="100" w:type="dxa"/>
              <w:start w:w="120" w:type="dxa"/>
              <w:bottom w:w="100" w:type="dxa"/>
              <w:end w:w="120" w:type="dxa"/>
            </w:tcMar>
          </w:tcPr>
          <w:p>
            <w:pPr>
              <w:spacing w:after="0" w:line="276" w:lineRule="auto"/>
              <w:jc w:val="center"/>
            </w:pPr>
            <w:r/>
            <w:r>
              <w:rPr>
                <w:rFonts w:ascii="Arial" w:hAnsi="Arial" w:eastAsia="Microsoft YaHei"/>
                <w:b w:val="0"/>
                <w:color w:val="000000"/>
                <w:sz w:val="19"/>
              </w:rPr>
              <w:t>阶段五</w:t>
            </w:r>
          </w:p>
        </w:tc>
        <w:tc>
          <w:tcPr>
            <w:tcW w:type="dxa" w:w="4195"/>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临床标注集和统计验证</w:t>
            </w:r>
          </w:p>
        </w:tc>
        <w:tc>
          <w:tcPr>
            <w:tcW w:type="dxa" w:w="4195"/>
            <w:vAlign w:val="center"/>
            <w:tcMar>
              <w:top w:w="100" w:type="dxa"/>
              <w:start w:w="120" w:type="dxa"/>
              <w:bottom w:w="100" w:type="dxa"/>
              <w:end w:w="120" w:type="dxa"/>
            </w:tcMar>
          </w:tcPr>
          <w:p>
            <w:pPr>
              <w:spacing w:after="0" w:line="276" w:lineRule="auto"/>
              <w:jc w:val="left"/>
            </w:pPr>
            <w:r/>
            <w:r>
              <w:rPr>
                <w:rFonts w:ascii="Arial" w:hAnsi="Arial" w:eastAsia="Microsoft YaHei"/>
                <w:b w:val="0"/>
                <w:color w:val="000000"/>
                <w:sz w:val="19"/>
              </w:rPr>
              <w:t>按患者划分验证集 报告一致性 重测稳定性和偏差</w:t>
            </w:r>
          </w:p>
        </w:tc>
      </w:tr>
    </w:tbl>
    <w:p>
      <w:pPr>
        <w:spacing w:after="0"/>
      </w:pPr>
    </w:p>
    <w:p>
      <w:pPr>
        <w:pStyle w:val="Heading1"/>
      </w:pPr>
      <w:r>
        <w:t>阶段一和阶段二验收清单</w:t>
      </w:r>
    </w:p>
    <w:p>
      <w:pPr>
        <w:pStyle w:val="ListBullet"/>
      </w:pPr>
      <w:r>
        <w:t>腾讯 ASR 或音频转码失败时不产生模拟转写和模拟分数。</w:t>
      </w:r>
    </w:p>
    <w:p>
      <w:pPr>
        <w:pStyle w:val="ListBullet"/>
      </w:pPr>
      <w:r>
        <w:t>静音、过短、过轻、严重削波和明显低信噪比录音不进入正式趋势。</w:t>
      </w:r>
    </w:p>
    <w:p>
      <w:pPr>
        <w:pStyle w:val="ListBullet"/>
      </w:pPr>
      <w:r>
        <w:t>正式自动指标以 system_rule 入库，并保存 rehab-process-v2 或更高算法版本。</w:t>
      </w:r>
    </w:p>
    <w:p>
      <w:pPr>
        <w:pStyle w:val="ListBullet"/>
      </w:pPr>
      <w:r>
        <w:t>每条跟读结果包含遗漏、替换、添加的位置与内容。</w:t>
      </w:r>
    </w:p>
    <w:p>
      <w:pPr>
        <w:pStyle w:val="ListBullet"/>
      </w:pPr>
      <w:r>
        <w:t>结果同时包含表达速率、发音速率、停顿占比、最长停顿和长停顿次数。</w:t>
      </w:r>
    </w:p>
    <w:p>
      <w:pPr>
        <w:pStyle w:val="ListBullet"/>
      </w:pPr>
      <w:r>
        <w:t>插入语、短语重复和自我修正分别计数。</w:t>
      </w:r>
    </w:p>
    <w:p>
      <w:pPr>
        <w:pStyle w:val="ListBullet"/>
      </w:pPr>
      <w:r>
        <w:t>独立性由真实提示等级、求助和启动延迟计算，不再固定为 86。</w:t>
      </w:r>
    </w:p>
    <w:p>
      <w:pPr>
        <w:pStyle w:val="ListBullet"/>
      </w:pPr>
      <w:r>
        <w:t>低质量录音返回明确原因，不生成总分；历史 mock 数据不会进入新版能力画像。</w:t>
      </w:r>
    </w:p>
    <w:p>
      <w:pPr>
        <w:pStyle w:val="ListBullet"/>
      </w:pPr>
      <w:r>
        <w:t>所有新增规则有单元测试，后端完整测试和患者训练冒烟流程通过。</w:t>
      </w:r>
    </w:p>
    <w:p>
      <w:pPr>
        <w:pStyle w:val="Heading1"/>
      </w:pPr>
      <w:r>
        <w:t>验证与临床校准</w:t>
      </w:r>
    </w:p>
    <w:p>
      <w:r>
        <w:t>工程测试只能证明算法按定义运行，不能证明临床有效。项目应建立去标识化、经同意的治疗师标注语料，覆盖不同障碍类型、严重程度、性别、年龄、设备与环境，并按患者而不是录音划分训练集和测试集。应报告自动指标与治疗师评分的一致性、绝对误差、重测稳定性、不同亚组偏差以及已知扰动下的灵敏度。</w:t>
      </w:r>
    </w:p>
    <w:p>
      <w:pPr>
        <w:pStyle w:val="Heading1"/>
      </w:pPr>
      <w:r>
        <w:t>参考资料</w:t>
      </w:r>
    </w:p>
    <w:p>
      <w:pPr>
        <w:ind w:left="340" w:hanging="340"/>
      </w:pPr>
      <w:r>
        <w:t>1. Youmans G, Youmans S R, Hancock A B. Script Training Treatment for Adults With Apraxia of Speech. American Journal of Speech-Language Pathology. 2011;20:23-37. DOI 10.1044/1058-0360(2010/09-0085).</w:t>
      </w:r>
    </w:p>
    <w:p>
      <w:pPr>
        <w:ind w:left="340" w:hanging="340"/>
      </w:pPr>
      <w:r>
        <w:t>2. American Speech-Language-Hearing Association. Acquired Apraxia of Speech Practice Portal.</w:t>
      </w:r>
    </w:p>
    <w:p>
      <w:pPr>
        <w:ind w:left="340" w:hanging="340"/>
      </w:pPr>
      <w:r>
        <w:t>3. American Speech-Language-Hearing Association. Dysarthria in Adults Practice Portal.</w:t>
      </w:r>
    </w:p>
    <w:p>
      <w:pPr>
        <w:ind w:left="340" w:hanging="340"/>
      </w:pPr>
      <w:r>
        <w:t>4. Pearson Clinical. Western Aphasia Battery Revised product and administration information.</w:t>
      </w:r>
    </w:p>
    <w:p>
      <w:pPr>
        <w:ind w:left="340" w:hanging="340"/>
      </w:pPr>
      <w:r>
        <w:t>5. 王荫华. 西方失语症成套测验 WAB 介绍 一 二. 中国康复理论与实践. 1997.</w:t>
      </w:r>
    </w:p>
    <w:p>
      <w:pPr>
        <w:ind w:left="340" w:hanging="340"/>
      </w:pPr>
      <w:r>
        <w:t>6. 王哲. 基于韵律功能的脚本训练对非流畅性失语症言语可懂度的干预. 华东师范大学. 2024.</w:t>
      </w:r>
    </w:p>
    <w:p>
      <w:pPr>
        <w:ind w:left="340" w:hanging="340"/>
      </w:pPr>
      <w:r>
        <w:t>7. University of Sydney Voice Lab. Acoustic Analysis Normative Data Reference Sheet V4.0. 2025.</w:t>
      </w: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言语康复智能体  康复评估算法重构方案  版本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