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jc w:val="right"/>
      </w:pPr>
      <w:r>
        <w:rPr>
          <w:b/>
          <w:caps/>
          <w:sz w:val="18"/>
        </w:rPr>
        <w:t xml:space="preserve">Confidential</w:t>
      </w:r>
    </w:p>
    <w:p>
      <w:pPr>
        <w:pStyle w:val="Title"/>
      </w:pPr>
      <w:r>
        <w:t xml:space="preserve">Confidential Services Agreement</w:t>
      </w:r>
    </w:p>
    <w:p>
      <w:pPr>
        <w:spacing w:after="240"/>
      </w:pPr>
      <w:r>
        <w:t xml:space="preserve">Agreement No. EX-2026-0417  ·  Effective Date: 1 October 2026</w:t>
      </w:r>
    </w:p>
    <w:p>
      <w:r>
        <w:t xml:space="preserve">This Services Agreement is made between </w:t>
      </w:r>
      <w:r>
        <w:rPr>
          <w:b/>
        </w:rPr>
        <w:t xml:space="preserve">Bramblewood Example Holdings Ltd.</w:t>
      </w:r>
      <w:r>
        <w:t xml:space="preserve">, 100 Example Street, Faketown, and </w:t>
      </w:r>
      <w:r>
        <w:rPr>
          <w:b/>
        </w:rPr>
        <w:t xml:space="preserve">Quillfeather Placeholder Consulting LLC</w:t>
      </w:r>
      <w:r>
        <w:t xml:space="preserve">, 42 Placeholder Avenue, Sampleville. All names, addresses and figures in this document are fictional.</w:t>
      </w:r>
    </w:p>
    <w:p>
      <w:pPr>
        <w:pStyle w:val="Heading1"/>
      </w:pPr>
      <w:r>
        <w:t xml:space="preserve">1. Services</w:t>
      </w:r>
    </w:p>
    <w:p>
      <w:r>
        <w:t xml:space="preserve">Quillfeather Placeholder Consulting LLC (the "Provider") will deliver the data migration and reporting services described in Schedule A to Bramblewood Example Holdings Ltd. (the "Client"). The Provider will assign a named lead consultant and keep the Client informed through a written status report every second Friday.</w:t>
      </w:r>
    </w:p>
    <w:p>
      <w:r>
        <w:t xml:space="preserve">Any change to the scope must be agreed in a signed change order before work on it begins.</w:t>
      </w:r>
    </w:p>
    <w:p>
      <w:pPr>
        <w:pStyle w:val="Heading1"/>
      </w:pPr>
      <w:r>
        <w:t xml:space="preserve">2. Fees and Payment</w:t>
      </w:r>
    </w:p>
    <w:p>
      <w:r>
        <w:t xml:space="preserve">The Client will pay the fees set out below. Invoices are issued monthly in arrears and are due within thirty (30) days of receipt. Late amounts accrue interest at one percent (1%) per month.</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00"/>
        <w:gridCol w:w="2400"/>
        <w:gridCol w:w="2400"/>
      </w:tblGrid>
      <w:tr>
        <w:tc>
          <w:tcPr>
            <w:tcW w:w="4200" w:type="dxa"/>
          </w:tcPr>
          <w:p>
            <w:pPr>
              <w:spacing w:after="60"/>
            </w:pPr>
            <w:r>
              <w:rPr>
                <w:b/>
              </w:rPr>
              <w:t xml:space="preserve">Item</w:t>
            </w:r>
          </w:p>
        </w:tc>
        <w:tc>
          <w:tcPr>
            <w:tcW w:w="2400" w:type="dxa"/>
          </w:tcPr>
          <w:p>
            <w:pPr>
              <w:spacing w:after="60"/>
            </w:pPr>
            <w:r>
              <w:rPr>
                <w:b/>
              </w:rPr>
              <w:t xml:space="preserve">Rate</w:t>
            </w:r>
          </w:p>
        </w:tc>
        <w:tc>
          <w:tcPr>
            <w:tcW w:w="2400" w:type="dxa"/>
          </w:tcPr>
          <w:p>
            <w:pPr>
              <w:spacing w:after="60"/>
            </w:pPr>
            <w:r>
              <w:rPr>
                <w:b/>
              </w:rPr>
              <w:t xml:space="preserve">Estimate</w:t>
            </w:r>
          </w:p>
        </w:tc>
      </w:tr>
      <w:tr>
        <w:tc>
          <w:tcPr>
            <w:tcW w:w="4200" w:type="dxa"/>
          </w:tcPr>
          <w:p>
            <w:pPr>
              <w:spacing w:after="60"/>
            </w:pPr>
            <w:r>
              <w:t xml:space="preserve">Lead consultant</w:t>
            </w:r>
          </w:p>
        </w:tc>
        <w:tc>
          <w:tcPr>
            <w:tcW w:w="2400" w:type="dxa"/>
          </w:tcPr>
          <w:p>
            <w:pPr>
              <w:spacing w:after="60"/>
            </w:pPr>
            <w:r>
              <w:t xml:space="preserve">$1,450 per day</w:t>
            </w:r>
          </w:p>
        </w:tc>
        <w:tc>
          <w:tcPr>
            <w:tcW w:w="2400" w:type="dxa"/>
          </w:tcPr>
          <w:p>
            <w:pPr>
              <w:spacing w:after="60"/>
            </w:pPr>
            <w:r>
              <w:t xml:space="preserve">$17,400</w:t>
            </w:r>
          </w:p>
        </w:tc>
      </w:tr>
      <w:tr>
        <w:tc>
          <w:tcPr>
            <w:tcW w:w="4200" w:type="dxa"/>
          </w:tcPr>
          <w:p>
            <w:pPr>
              <w:spacing w:after="60"/>
            </w:pPr>
            <w:r>
              <w:t xml:space="preserve">Data engineer</w:t>
            </w:r>
          </w:p>
        </w:tc>
        <w:tc>
          <w:tcPr>
            <w:tcW w:w="2400" w:type="dxa"/>
          </w:tcPr>
          <w:p>
            <w:pPr>
              <w:spacing w:after="60"/>
            </w:pPr>
            <w:r>
              <w:t xml:space="preserve">$1,100 per day</w:t>
            </w:r>
          </w:p>
        </w:tc>
        <w:tc>
          <w:tcPr>
            <w:tcW w:w="2400" w:type="dxa"/>
          </w:tcPr>
          <w:p>
            <w:pPr>
              <w:spacing w:after="60"/>
            </w:pPr>
            <w:r>
              <w:t xml:space="preserve">$22,000</w:t>
            </w:r>
          </w:p>
        </w:tc>
      </w:tr>
      <w:tr>
        <w:tc>
          <w:tcPr>
            <w:tcW w:w="4200" w:type="dxa"/>
          </w:tcPr>
          <w:p>
            <w:pPr>
              <w:spacing w:after="60"/>
            </w:pPr>
            <w:r>
              <w:t xml:space="preserve">Reporting dashboards (fixed)</w:t>
            </w:r>
          </w:p>
        </w:tc>
        <w:tc>
          <w:tcPr>
            <w:tcW w:w="2400" w:type="dxa"/>
          </w:tcPr>
          <w:p>
            <w:pPr>
              <w:spacing w:after="60"/>
            </w:pPr>
            <w:r>
              <w:t xml:space="preserve">$6,500</w:t>
            </w:r>
          </w:p>
        </w:tc>
        <w:tc>
          <w:tcPr>
            <w:tcW w:w="2400" w:type="dxa"/>
          </w:tcPr>
          <w:p>
            <w:pPr>
              <w:spacing w:after="60"/>
            </w:pPr>
            <w:r>
              <w:t xml:space="preserve">$6,500</w:t>
            </w:r>
          </w:p>
        </w:tc>
      </w:tr>
      <w:tr>
        <w:tc>
          <w:tcPr>
            <w:tcW w:w="4200" w:type="dxa"/>
          </w:tcPr>
          <w:p>
            <w:pPr>
              <w:spacing w:after="60"/>
            </w:pPr>
            <w:r>
              <w:rPr>
                <w:b/>
              </w:rPr>
              <w:t xml:space="preserve">Total estimate</w:t>
            </w:r>
          </w:p>
        </w:tc>
        <w:tc>
          <w:tcPr>
            <w:tcW w:w="2400" w:type="dxa"/>
          </w:tcPr>
          <w:p>
            <w:pPr>
              <w:spacing w:after="60"/>
            </w:pPr>
            <w:r>
              <w:rPr>
                <w:b/>
              </w:rPr>
              <w:t xml:space="preserve"/>
            </w:r>
          </w:p>
        </w:tc>
        <w:tc>
          <w:tcPr>
            <w:tcW w:w="2400" w:type="dxa"/>
          </w:tcPr>
          <w:p>
            <w:pPr>
              <w:spacing w:after="60"/>
            </w:pPr>
            <w:r>
              <w:rPr>
                <w:b/>
              </w:rPr>
              <w:t xml:space="preserve">$45,900</w:t>
            </w:r>
          </w:p>
        </w:tc>
      </w:tr>
    </w:tbl>
    <w:p>
      <w:pPr>
        <w:spacing w:after="120"/>
      </w:pPr>
    </w:p>
    <w:p>
      <w:pPr>
        <w:pStyle w:val="Heading1"/>
      </w:pPr>
      <w:r>
        <w:t xml:space="preserve">3. Confidentiality</w:t>
      </w:r>
    </w:p>
    <w:p>
      <w:r>
        <w:t xml:space="preserve">Each party will keep the other party's Confidential Information secret, use it only to perform this Agreement, and disclose it only to employees and advisers who need to know it and are bound by equivalent obligations.</w:t>
      </w:r>
    </w:p>
    <w:p>
      <w:r>
        <w:t xml:space="preserve">These obligations survive for five (5) years after this Agreement ends. They do not apply to information that is public through no fault of the receiving party, or that the receiving party must disclose by law.</w:t>
      </w:r>
    </w:p>
    <w:p>
      <w:pPr>
        <w:pStyle w:val="Heading1"/>
      </w:pPr>
      <w:r>
        <w:t xml:space="preserve">4. Term and Termination</w:t>
      </w:r>
    </w:p>
    <w:p>
      <w:r>
        <w:t xml:space="preserve">This Agreement starts on the Effective Date and runs for twelve (12) months. Either party may terminate it on thirty (30) days' written notice, or immediately if the other party materially breaches it and fails to cure the breach within fifteen (15) days of notice.</w:t>
      </w:r>
    </w:p>
    <w:p>
      <w:pPr>
        <w:pStyle w:val="Heading1"/>
      </w:pPr>
      <w:r>
        <w:t xml:space="preserve">5. Intellectual Property</w:t>
      </w:r>
    </w:p>
    <w:p>
      <w:r>
        <w:t xml:space="preserve">Deliverables created specifically for the Client become the Client's property on full payment. The Provider keeps ownership of its pre-existing tools and methods and grants the Client a perpetual, non-exclusive licence to use them as part of the Deliverables.</w:t>
      </w:r>
    </w:p>
    <w:p>
      <w:pPr>
        <w:pStyle w:val="Heading1"/>
      </w:pPr>
      <w:r>
        <w:t xml:space="preserve">6. Limitation of Liability</w:t>
      </w:r>
    </w:p>
    <w:p>
      <w:r>
        <w:t xml:space="preserve">Except for breaches of Section 3, neither party is liable for indirect or consequential losses, and each party's total liability is capped at the fees paid in the twelve (12) months before the claim.</w:t>
      </w:r>
    </w:p>
    <w:p>
      <w:pPr>
        <w:pStyle w:val="Heading1"/>
      </w:pPr>
      <w:r>
        <w:t xml:space="preserve">7. Governing Law</w:t>
      </w:r>
    </w:p>
    <w:p>
      <w:r>
        <w:t xml:space="preserve">This Agreement is governed by the laws of the State of Exampleland. The courts of Faketown have exclusive jurisdiction over any dispute arising from it.</w:t>
      </w:r>
    </w:p>
    <w:p>
      <w:pPr>
        <w:pStyle w:val="Heading1"/>
      </w:pPr>
      <w:r>
        <w:t xml:space="preserve">Signatures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00"/>
        <w:gridCol w:w="4500"/>
      </w:tblGrid>
      <w:tr>
        <w:tc>
          <w:tcPr>
            <w:tcW w:w="4500" w:type="dxa"/>
          </w:tcPr>
          <w:p>
            <w:pPr>
              <w:spacing w:after="60"/>
            </w:pPr>
            <w:r>
              <w:rPr>
                <w:b/>
              </w:rPr>
              <w:t xml:space="preserve">For Bramblewood Example Holdings Ltd.</w:t>
            </w:r>
          </w:p>
        </w:tc>
        <w:tc>
          <w:tcPr>
            <w:tcW w:w="4500" w:type="dxa"/>
          </w:tcPr>
          <w:p>
            <w:pPr>
              <w:spacing w:after="60"/>
            </w:pPr>
            <w:r>
              <w:rPr>
                <w:b/>
              </w:rPr>
              <w:t xml:space="preserve">For Quillfeather Placeholder Consulting LLC</w:t>
            </w:r>
          </w:p>
        </w:tc>
      </w:tr>
      <w:tr>
        <w:tc>
          <w:tcPr>
            <w:tcW w:w="4500" w:type="dxa"/>
          </w:tcPr>
          <w:p>
            <w:pPr>
              <w:spacing w:after="60"/>
            </w:pPr>
            <w:r>
              <w:t xml:space="preserve">Name: Jordan Sample</w:t>
            </w:r>
          </w:p>
        </w:tc>
        <w:tc>
          <w:tcPr>
            <w:tcW w:w="4500" w:type="dxa"/>
          </w:tcPr>
          <w:p>
            <w:pPr>
              <w:spacing w:after="60"/>
            </w:pPr>
            <w:r>
              <w:t xml:space="preserve">Name: Riley Placeholder</w:t>
            </w:r>
          </w:p>
        </w:tc>
      </w:tr>
      <w:tr>
        <w:tc>
          <w:tcPr>
            <w:tcW w:w="4500" w:type="dxa"/>
          </w:tcPr>
          <w:p>
            <w:pPr>
              <w:spacing w:after="60"/>
            </w:pPr>
            <w:r>
              <w:t xml:space="preserve">Title: Chief Operating Officer</w:t>
            </w:r>
          </w:p>
        </w:tc>
        <w:tc>
          <w:tcPr>
            <w:tcW w:w="4500" w:type="dxa"/>
          </w:tcPr>
          <w:p>
            <w:pPr>
              <w:spacing w:after="60"/>
            </w:pPr>
            <w:r>
              <w:t xml:space="preserve">Title: Managing Partner</w:t>
            </w:r>
          </w:p>
        </w:tc>
      </w:tr>
      <w:tr>
        <w:tc>
          <w:tcPr>
            <w:tcW w:w="4500" w:type="dxa"/>
          </w:tcPr>
          <w:p>
            <w:pPr>
              <w:spacing w:after="60"/>
            </w:pPr>
            <w:r>
              <w:t xml:space="preserve">Signature: ______________________</w:t>
            </w:r>
          </w:p>
        </w:tc>
        <w:tc>
          <w:tcPr>
            <w:tcW w:w="4500" w:type="dxa"/>
          </w:tcPr>
          <w:p>
            <w:pPr>
              <w:spacing w:after="60"/>
            </w:pPr>
            <w:r>
              <w:t xml:space="preserve">Signature: ______________________</w:t>
            </w:r>
          </w:p>
        </w:tc>
      </w:tr>
      <w:tr>
        <w:tc>
          <w:tcPr>
            <w:tcW w:w="4500" w:type="dxa"/>
          </w:tcPr>
          <w:p>
            <w:pPr>
              <w:spacing w:after="60"/>
            </w:pPr>
            <w:r>
              <w:rPr>
                <w:b/>
              </w:rPr>
              <w:t xml:space="preserve">Date: ____________</w:t>
            </w:r>
          </w:p>
        </w:tc>
        <w:tc>
          <w:tcPr>
            <w:tcW w:w="4500" w:type="dxa"/>
          </w:tcPr>
          <w:p>
            <w:pPr>
              <w:spacing w:after="60"/>
            </w:pPr>
            <w:r>
              <w:rPr>
                <w:b/>
              </w:rPr>
              <w:t xml:space="preserve">Date: ____________</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160" w:line="276" w:lineRule="auto"/>
        <w:jc w:val="both"/>
      </w:pPr>
    </w:pPrDefault>
  </w:docDefaults>
  <w:style w:type="paragraph" w:default="1" w:styleId="Normal">
    <w:name w:val="Normal"/>
  </w:style>
  <w:style w:type="paragraph" w:styleId="Title">
    <w:name w:val="Title"/>
    <w:basedOn w:val="Normal"/>
    <w:pPr>
      <w:spacing w:after="120"/>
      <w:jc w:val="left"/>
    </w:pPr>
    <w:rPr>
      <w:b/>
      <w:sz w:val="36"/>
    </w:rPr>
  </w:style>
  <w:style w:type="paragraph" w:styleId="Heading1">
    <w:name w:val="heading 1"/>
    <w:basedOn w:val="Normal"/>
    <w:pPr>
      <w:keepNext/>
      <w:spacing w:before="240" w:after="80"/>
      <w:jc w:val="left"/>
      <w:outlineLvl w:val="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Confidential Services Agreement</dc:title>
  <dc:creator>Bramblewood Example Holdings Ltd.</dc:creator>
  <dcterms:created xsi:type="dcterms:W3CDTF">2026-10-01T09:00:00Z</dcterms:created>
</cp:coreProperties>
</file>