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  <w:jc w:val="center"/>
      </w:pPr>
      <w:r>
        <w:rPr>
          <w:rFonts w:ascii="Times New Roman" w:hAnsi="Times New Roman" w:eastAsia="仿宋_GB2312"/>
          <w:b/>
          <w:sz w:val="32"/>
        </w:rPr>
        <w:t>交叉验证分析报告</w:t>
      </w:r>
    </w:p>
    <w:p>
      <w:pPr>
        <w:spacing w:line="360" w:lineRule="auto" w:after="240" w:before="0"/>
        <w:jc w:val="center"/>
      </w:pPr>
      <w:r>
        <w:rPr>
          <w:rFonts w:ascii="Times New Roman" w:hAnsi="Times New Roman" w:eastAsia="仿宋_GB2312"/>
          <w:b w:val="0"/>
          <w:sz w:val="28"/>
        </w:rPr>
        <w:t>××彝州交警支队房地产年租金（2026REA0278）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仿宋_GB2312"/>
          <w:b/>
          <w:sz w:val="28"/>
        </w:rPr>
        <w:t>一、数据对比表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/>
                <w:sz w:val="24"/>
              </w:rPr>
              <w:t>验证维度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/>
                <w:sz w:val="24"/>
              </w:rPr>
              <w:t>报告取值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/>
                <w:sz w:val="24"/>
              </w:rPr>
              <w:t>第三方数据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/>
                <w:sz w:val="24"/>
              </w:rPr>
              <w:t>偏差率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/>
                <w:sz w:val="24"/>
              </w:rPr>
              <w:t>数据来源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土地年租金单价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10.89元/㎡·年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9.38-11.58元/㎡·年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±12.6%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××土地市场招租信息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房屋年租金(5幢)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22,700元/年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—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—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报告测算值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房屋日租金单价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0.22元/㎡·天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0.29-0.44元/㎡·天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-24%~-50%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58同城××商铺租金/抖音招租信息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××商铺租金范围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—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0.30-1.50元/㎡·天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—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58同城××商铺租金走势(creprice.cn)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滇中大商汇租金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—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0.29-0.44元/㎡·天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—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抖音招租信息(滇中大商汇一期48栋)</w:t>
            </w:r>
          </w:p>
        </w:tc>
      </w:tr>
    </w:tbl>
    <w:p/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仿宋_GB2312"/>
          <w:b/>
          <w:sz w:val="28"/>
        </w:rPr>
        <w:t>二、数据对比可视化</w:t>
      </w:r>
    </w:p>
    <w:p>
      <w:pPr>
        <w:ind w:firstLine="0"/>
        <w:jc w:val="center"/>
      </w:pPr>
      <w:r>
        <w:rPr>
          <w:rFonts w:ascii="Times New Roman" w:hAnsi="Times New Roman" w:eastAsia="仿宋_GB2312"/>
          <w:b w:val="0"/>
          <w:sz w:val="24"/>
        </w:rPr>
        <w:t>图1：土地年租金对比（报告取值 vs 可比实例修正后）</w:t>
      </w:r>
    </w:p>
    <w:p>
      <w:r>
        <w:drawing>
          <wp:inline xmlns:a="http://schemas.openxmlformats.org/drawingml/2006/main" xmlns:pic="http://schemas.openxmlformats.org/drawingml/2006/picture">
            <wp:extent cx="5040000" cy="28033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la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3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仿宋_GB2312"/>
          <w:b w:val="0"/>
          <w:sz w:val="24"/>
        </w:rPr>
        <w:t>图2：房屋日租金对比（报告取值 vs 市场参考范围）</w:t>
      </w:r>
    </w:p>
    <w:p>
      <w:r>
        <w:drawing>
          <wp:inline xmlns:a="http://schemas.openxmlformats.org/drawingml/2006/main" xmlns:pic="http://schemas.openxmlformats.org/drawingml/2006/picture">
            <wp:extent cx="5040000" cy="28009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build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09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仿宋_GB2312"/>
          <w:b/>
          <w:sz w:val="28"/>
        </w:rPr>
        <w:t>三、分析说明</w:t>
      </w:r>
    </w:p>
    <w:p>
      <w:pPr>
        <w:spacing w:line="360" w:lineRule="auto" w:after="0" w:before="0"/>
        <w:ind w:firstLine="420"/>
        <w:jc w:val="both"/>
      </w:pPr>
      <w:r>
        <w:rPr>
          <w:rFonts w:ascii="Times New Roman" w:hAnsi="Times New Roman" w:eastAsia="仿宋_GB2312"/>
          <w:b/>
          <w:sz w:val="24"/>
        </w:rPr>
        <w:t>【数据一致性核查】</w:t>
      </w:r>
    </w:p>
    <w:p>
      <w:pPr>
        <w:spacing w:line="360" w:lineRule="auto" w:after="0" w:before="0"/>
        <w:ind w:firstLine="420"/>
        <w:jc w:val="both"/>
      </w:pPr>
      <w:r>
        <w:rPr>
          <w:rFonts w:ascii="Times New Roman" w:hAnsi="Times New Roman" w:eastAsia="仿宋_GB2312"/>
          <w:b w:val="0"/>
          <w:sz w:val="24"/>
        </w:rPr>
        <w:t>1. 土地年租金：报告取值10.89元/㎡·年，三个可比实例修正后单价为10.94、10.15、11.58元/㎡·年，差异较小（偏差率±12.6%）。原始单价（9.38-10.13元/㎡·年）与报告结果处于同一数量级，修正后的价格略有提高，整体合理。</w:t>
      </w:r>
    </w:p>
    <w:p>
      <w:pPr>
        <w:spacing w:line="360" w:lineRule="auto" w:after="0" w:before="0"/>
        <w:ind w:firstLine="420"/>
        <w:jc w:val="both"/>
      </w:pPr>
      <w:r>
        <w:rPr>
          <w:rFonts w:ascii="Times New Roman" w:hAnsi="Times New Roman" w:eastAsia="仿宋_GB2312"/>
          <w:b w:val="0"/>
          <w:sz w:val="24"/>
        </w:rPr>
        <w:t>2. 房屋年租金：标房（5幢，289.93㎡）年租金为22,700元，月租金单价约6.53元/㎡·月，折合日租金约0.22元/㎡·天。与××一般商铺租金（0.3-1.5元/㎡·天）相比偏低，但考虑到估价对象为车辆管理所（非商业用途，更接近工业/仓储用途），租金低于商业物业属于合理范围。</w:t>
      </w:r>
    </w:p>
    <w:p>
      <w:pPr>
        <w:spacing w:line="360" w:lineRule="auto" w:after="0" w:before="0"/>
        <w:ind w:firstLine="420"/>
        <w:jc w:val="both"/>
      </w:pPr>
      <w:r>
        <w:rPr>
          <w:rFonts w:ascii="Times New Roman" w:hAnsi="Times New Roman" w:eastAsia="仿宋_GB2312"/>
          <w:b w:val="0"/>
          <w:sz w:val="24"/>
        </w:rPr>
        <w:t>3. 与滇中大商汇招租信息（0.29-0.44元/㎡·天）相比，报告评估值偏低约24%-50%。滇中大商汇为新建商业综合体，区位条件优于车辆管理所，价格差异具有合理性。</w:t>
      </w:r>
    </w:p>
    <w:p>
      <w:pPr>
        <w:spacing w:line="360" w:lineRule="auto" w:after="0" w:before="0"/>
        <w:ind w:firstLine="420"/>
        <w:jc w:val="both"/>
      </w:pPr>
      <w:r>
        <w:rPr>
          <w:rFonts w:ascii="Times New Roman" w:hAnsi="Times New Roman" w:eastAsia="仿宋_GB2312"/>
          <w:b w:val="0"/>
          <w:sz w:val="24"/>
        </w:rPr>
        <w:t>4. 报告采用成本法测算房屋租金，成本租金与市场租金可能存在系统性差异。若建筑物折旧较慢、建造成本较高，则成本租金可能高于市场租金；反之则可能低于市场租金。本项目中，5幢建于2005年，成新率58%，折旧已计提约42%，成本租金中的折旧费相对较低，但整体成本租金仍低于市场招租水平。</w:t>
      </w:r>
    </w:p>
    <w:p>
      <w:pPr>
        <w:spacing w:line="360" w:lineRule="auto" w:after="0" w:before="0"/>
        <w:ind w:firstLine="420"/>
        <w:jc w:val="both"/>
      </w:pPr>
      <w:r>
        <w:rPr>
          <w:rFonts w:ascii="Times New Roman" w:hAnsi="Times New Roman" w:eastAsia="仿宋_GB2312"/>
          <w:b w:val="0"/>
          <w:sz w:val="24"/>
        </w:rPr>
        <w:t>5. 报审材料不完整：州交警支队房地分估计算表混入其他项目数据，且缺少6幢、7幢及土地的详细测算，无法独立复算年租金总额。</w:t>
      </w:r>
    </w:p>
    <w:p>
      <w:pPr>
        <w:spacing w:line="360" w:lineRule="auto" w:after="0" w:before="0"/>
        <w:ind w:firstLine="420"/>
        <w:jc w:val="both"/>
      </w:pPr>
      <w:r>
        <w:rPr>
          <w:rFonts w:ascii="Times New Roman" w:hAnsi="Times New Roman" w:eastAsia="仿宋_GB2312"/>
          <w:b/>
          <w:sz w:val="24"/>
        </w:rPr>
        <w:t>【数据来源说明】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仿宋_GB2312"/>
          <w:b w:val="0"/>
          <w:sz w:val="24"/>
        </w:rPr>
        <w:t>1. ××商铺租金参考数据：58同城××商铺租金走势图（</w:t>
      </w:r>
      <w:hyperlink r:id="rId11">
        <w:r>
          <w:rPr>
            <w:rFonts w:eastAsia="仿宋_GB2312" w:ascii="Times New Roman" w:hAnsi="Times New Roman"/>
            <w:sz w:val="24"/>
            <w:szCs w:val="24"/>
            <w:color w:val="0563C1"/>
            <w:u w:val="single"/>
          </w:rPr>
          <w:t>https://cx.58.com/fangjia/shangpuzujin/</w:t>
        </w:r>
      </w:hyperlink>
      <w:r>
        <w:rPr>
          <w:rFonts w:ascii="Times New Roman" w:hAnsi="Times New Roman" w:eastAsia="仿宋_GB2312"/>
          <w:b w:val="0"/>
          <w:sz w:val="24"/>
        </w:rPr>
        <w:t>），2026年6月查询，显示××商铺日租金约0.30-1.50元/㎡·天。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仿宋_GB2312"/>
          <w:b w:val="0"/>
          <w:sz w:val="24"/>
        </w:rPr>
        <w:t>2. ××商铺出租信息：安居客××商业地产商铺出租频道（</w:t>
      </w:r>
      <w:hyperlink r:id="rId12">
        <w:r>
          <w:rPr>
            <w:rFonts w:eastAsia="仿宋_GB2312" w:ascii="Times New Roman" w:hAnsi="Times New Roman"/>
            <w:sz w:val="24"/>
            <w:szCs w:val="24"/>
            <w:color w:val="0563C1"/>
            <w:u w:val="single"/>
          </w:rPr>
          <w:t>https://www.anjuke.com/cx/sydc-jhc/sp-zu-8-chuxiongshi/</w:t>
        </w:r>
      </w:hyperlink>
      <w:r>
        <w:rPr>
          <w:rFonts w:ascii="Times New Roman" w:hAnsi="Times New Roman" w:eastAsia="仿宋_GB2312"/>
          <w:b w:val="0"/>
          <w:sz w:val="24"/>
        </w:rPr>
        <w:t>），提供××各区商铺租金参考。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仿宋_GB2312"/>
          <w:b w:val="0"/>
          <w:sz w:val="24"/>
        </w:rPr>
        <w:t>3. 滇中大商汇招租信息：抖音平台发布（</w:t>
      </w:r>
      <w:hyperlink r:id="rId13">
        <w:r>
          <w:rPr>
            <w:rFonts w:eastAsia="仿宋_GB2312" w:ascii="Times New Roman" w:hAnsi="Times New Roman"/>
            <w:sz w:val="24"/>
            <w:szCs w:val="24"/>
            <w:color w:val="0563C1"/>
            <w:u w:val="single"/>
          </w:rPr>
          <w:t>https://www.douyin.com/video/7615100675911199589</w:t>
        </w:r>
      </w:hyperlink>
      <w:r>
        <w:rPr>
          <w:rFonts w:ascii="Times New Roman" w:hAnsi="Times New Roman" w:eastAsia="仿宋_GB2312"/>
          <w:b w:val="0"/>
          <w:sz w:val="24"/>
        </w:rPr>
        <w:t>），2026年3月发布，滇中大商汇一期48栋端头铺面，租金约0.29-0.44元/㎡·天（按160㎡两层估算）。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仿宋_GB2312"/>
          <w:b w:val="0"/>
          <w:sz w:val="24"/>
        </w:rPr>
        <w:t>4. ××商铺租金实况：中国房价行情网（</w:t>
      </w:r>
      <w:hyperlink r:id="rId14">
        <w:r>
          <w:rPr>
            <w:rFonts w:eastAsia="仿宋_GB2312" w:ascii="Times New Roman" w:hAnsi="Times New Roman"/>
            <w:sz w:val="24"/>
            <w:szCs w:val="24"/>
            <w:color w:val="0563C1"/>
            <w:u w:val="single"/>
          </w:rPr>
          <w:t>https://www.creprice.cn/district/CY.html?city=cx&amp;type=lease&amp;proptype=22</w:t>
        </w:r>
      </w:hyperlink>
      <w:r>
        <w:rPr>
          <w:rFonts w:ascii="Times New Roman" w:hAnsi="Times New Roman" w:eastAsia="仿宋_GB2312"/>
          <w:b w:val="0"/>
          <w:sz w:val="24"/>
        </w:rPr>
        <w:t>），2026年6月5日更新，提供××商铺房租月度数据及走势分析。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仿宋_GB2312"/>
          <w:b w:val="0"/>
          <w:sz w:val="24"/>
        </w:rPr>
        <w:t>5. 可比实例数据：来源于报告原文中的土地比较法可比实例（案例A、B、C），成交时间分别为2024年10月、2025年1月、2025年4月。</w:t>
      </w:r>
    </w:p>
    <w:p/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仿宋_GB2312"/>
          <w:b/>
          <w:sz w:val="28"/>
        </w:rPr>
        <w:t>四、验证结论</w:t>
      </w:r>
    </w:p>
    <w:p>
      <w:pPr>
        <w:spacing w:line="360" w:lineRule="auto" w:after="0" w:before="0"/>
        <w:ind w:firstLine="420"/>
        <w:jc w:val="both"/>
      </w:pPr>
      <w:r>
        <w:rPr>
          <w:rFonts w:ascii="Times New Roman" w:hAnsi="Times New Roman" w:eastAsia="仿宋_GB2312"/>
          <w:b/>
          <w:sz w:val="24"/>
        </w:rPr>
        <w:t>验证结论：【验证结论】</w:t>
      </w:r>
    </w:p>
    <w:p>
      <w:pPr>
        <w:spacing w:line="360" w:lineRule="auto" w:after="0" w:before="0"/>
        <w:ind w:firstLine="420"/>
        <w:jc w:val="both"/>
      </w:pPr>
      <w:r>
        <w:rPr>
          <w:rFonts w:ascii="Times New Roman" w:hAnsi="Times New Roman" w:eastAsia="仿宋_GB2312"/>
          <w:b w:val="0"/>
          <w:sz w:val="24"/>
        </w:rPr>
        <w:t>经独立第三方数据交叉验证，本报告存在以下风险点：</w:t>
      </w:r>
    </w:p>
    <w:p>
      <w:pPr>
        <w:spacing w:line="360" w:lineRule="auto" w:after="0" w:before="0"/>
        <w:ind w:firstLine="420"/>
        <w:jc w:val="both"/>
      </w:pPr>
      <w:r>
        <w:rPr>
          <w:rFonts w:ascii="Times New Roman" w:hAnsi="Times New Roman" w:eastAsia="仿宋_GB2312"/>
          <w:b w:val="0"/>
          <w:sz w:val="24"/>
        </w:rPr>
        <w:t>1. 可比案例价格均为挂牌底价或招租信息，非实际成交价，结论存在不确定性；</w:t>
      </w:r>
    </w:p>
    <w:p>
      <w:pPr>
        <w:spacing w:line="360" w:lineRule="auto" w:after="0" w:before="0"/>
        <w:ind w:firstLine="420"/>
        <w:jc w:val="both"/>
      </w:pPr>
      <w:r>
        <w:rPr>
          <w:rFonts w:ascii="Times New Roman" w:hAnsi="Times New Roman" w:eastAsia="仿宋_GB2312"/>
          <w:b w:val="0"/>
          <w:sz w:val="24"/>
        </w:rPr>
        <w:t>2. 成本法用于市场租金评估存在方法论偏差，成本租金可能无法充分反映市场供求关系；</w:t>
      </w:r>
    </w:p>
    <w:p>
      <w:pPr>
        <w:spacing w:line="360" w:lineRule="auto" w:after="0" w:before="0"/>
        <w:ind w:firstLine="420"/>
        <w:jc w:val="both"/>
      </w:pPr>
      <w:r>
        <w:rPr>
          <w:rFonts w:ascii="Times New Roman" w:hAnsi="Times New Roman" w:eastAsia="仿宋_GB2312"/>
          <w:b w:val="0"/>
          <w:sz w:val="24"/>
        </w:rPr>
        <w:t>3. 报审测算材料不完整，无法独立复算年租金总额；</w:t>
      </w:r>
    </w:p>
    <w:p>
      <w:pPr>
        <w:spacing w:line="360" w:lineRule="auto" w:after="0" w:before="0"/>
        <w:ind w:firstLine="420"/>
        <w:jc w:val="both"/>
      </w:pPr>
      <w:r>
        <w:rPr>
          <w:rFonts w:ascii="Times New Roman" w:hAnsi="Times New Roman" w:eastAsia="仿宋_GB2312"/>
          <w:b w:val="0"/>
          <w:sz w:val="24"/>
        </w:rPr>
        <w:t>4. 修正系数（如利润率4.1%、管理费0）缺乏客观数据来源支撑。</w:t>
      </w:r>
    </w:p>
    <w:p>
      <w:pPr>
        <w:spacing w:line="360" w:lineRule="auto" w:after="0" w:before="0"/>
        <w:ind w:firstLine="420"/>
        <w:jc w:val="both"/>
      </w:pPr>
      <w:r>
        <w:rPr>
          <w:rFonts w:ascii="Times New Roman" w:hAnsi="Times New Roman" w:eastAsia="仿宋_GB2312"/>
          <w:b w:val="0"/>
          <w:sz w:val="24"/>
        </w:rPr>
        <w:t>综合判断：土地年租金评估结果与可比实例基本吻合，具有合理性；房屋年租金评估结果低于市场商业物业水平，但考虑用途差异后处于合理区间。需在补充完整测算明细、完善方法适用性论证后方可作为决策参考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仿宋_GB2312" w:cs="Times New Roman"/>
        <w:sz w:val="24"/>
        <w:szCs w:val="24"/>
      </w:rPr>
    </w:rPrDefault>
    <w:pPrDefault>
      <w:pPr>
        <w:spacing w:before="0" w:after="0" w:line="36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cx.58.com/fangjia/shangpuzujin/" TargetMode="External"/><Relationship Id="rId12" Type="http://schemas.openxmlformats.org/officeDocument/2006/relationships/hyperlink" Target="https://www.anjuke.com/cx/sydc-jhc/sp-zu-8-chuxiongshi/" TargetMode="External"/><Relationship Id="rId13" Type="http://schemas.openxmlformats.org/officeDocument/2006/relationships/hyperlink" Target="https://www.douyin.com/video/7615100675911199589" TargetMode="External"/><Relationship Id="rId14" Type="http://schemas.openxmlformats.org/officeDocument/2006/relationships/hyperlink" Target="https://www.creprice.cn/district/CY.html?city=cx&amp;type=lease&amp;proptype=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