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6585" w:rsidRDefault="004B6585">
      <w:pPr>
        <w:pStyle w:val="a3"/>
        <w:spacing w:before="2"/>
        <w:rPr>
          <w:rFonts w:ascii="Times New Roman"/>
          <w:sz w:val="27"/>
        </w:rPr>
      </w:pPr>
    </w:p>
    <w:p w:rsidR="004B6585" w:rsidRDefault="0042640F">
      <w:pPr>
        <w:pStyle w:val="a3"/>
        <w:spacing w:before="66" w:line="336" w:lineRule="auto"/>
        <w:ind w:left="118" w:right="113" w:firstLine="184"/>
        <w:jc w:val="both"/>
      </w:pPr>
      <w:r>
        <w:rPr>
          <w:spacing w:val="-4"/>
        </w:rPr>
        <w:t xml:space="preserve">In recent years, alongside experimental approaches, </w:t>
      </w:r>
      <w:r w:rsidR="00C41646">
        <w:rPr>
          <w:spacing w:val="-4"/>
        </w:rPr>
        <w:t>mathematical model</w:t>
      </w:r>
      <w:r>
        <w:rPr>
          <w:spacing w:val="-4"/>
        </w:rPr>
        <w:t xml:space="preserve"> have been </w:t>
      </w:r>
      <w:r>
        <w:t>employed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investigate</w:t>
      </w:r>
      <w:r>
        <w:rPr>
          <w:spacing w:val="-1"/>
        </w:rPr>
        <w:t xml:space="preserve"> </w:t>
      </w:r>
      <w:r>
        <w:t>intracellular</w:t>
      </w:r>
      <w:r>
        <w:rPr>
          <w:spacing w:val="-1"/>
        </w:rPr>
        <w:t xml:space="preserve"> </w:t>
      </w:r>
      <w:r>
        <w:t>signaling</w:t>
      </w:r>
      <w:r>
        <w:rPr>
          <w:spacing w:val="-1"/>
        </w:rPr>
        <w:t xml:space="preserve"> </w:t>
      </w:r>
      <w:r>
        <w:t>processes.</w:t>
      </w:r>
      <w:r>
        <w:rPr>
          <w:spacing w:val="30"/>
        </w:rPr>
        <w:t xml:space="preserve"> </w:t>
      </w:r>
      <w:r>
        <w:t>Simulation</w:t>
      </w:r>
      <w:r>
        <w:rPr>
          <w:spacing w:val="-1"/>
        </w:rPr>
        <w:t xml:space="preserve"> </w:t>
      </w:r>
      <w:r>
        <w:t>research, which</w:t>
      </w:r>
      <w:r>
        <w:rPr>
          <w:spacing w:val="-1"/>
        </w:rPr>
        <w:t xml:space="preserve"> </w:t>
      </w:r>
      <w:r>
        <w:t>seeks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validate </w:t>
      </w:r>
      <w:r>
        <w:rPr>
          <w:spacing w:val="-2"/>
        </w:rPr>
        <w:t>hypotheses based on experimental</w:t>
      </w:r>
      <w:r>
        <w:rPr>
          <w:spacing w:val="-3"/>
        </w:rPr>
        <w:t xml:space="preserve"> </w:t>
      </w:r>
      <w:r>
        <w:rPr>
          <w:spacing w:val="-2"/>
        </w:rPr>
        <w:t>results, is increasingly recognized as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rPr>
          <w:spacing w:val="-3"/>
        </w:rPr>
        <w:t xml:space="preserve"> </w:t>
      </w:r>
      <w:r>
        <w:rPr>
          <w:spacing w:val="-2"/>
        </w:rPr>
        <w:t>valuable</w:t>
      </w:r>
      <w:r>
        <w:rPr>
          <w:spacing w:val="-3"/>
        </w:rPr>
        <w:t xml:space="preserve"> </w:t>
      </w:r>
      <w:r>
        <w:rPr>
          <w:spacing w:val="-2"/>
        </w:rPr>
        <w:t>complement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>exper</w:t>
      </w:r>
      <w:r>
        <w:t>imental studies.</w:t>
      </w:r>
      <w:r>
        <w:rPr>
          <w:spacing w:val="31"/>
        </w:rPr>
        <w:t xml:space="preserve"> </w:t>
      </w:r>
      <w:r>
        <w:t xml:space="preserve">In this </w:t>
      </w:r>
      <w:r w:rsidR="00C41646">
        <w:t>section</w:t>
      </w:r>
      <w:r>
        <w:t>, we reevaluate the hypothesis that regulatory T cells are involved in the transition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inﬂammatory</w:t>
      </w:r>
      <w:r>
        <w:rPr>
          <w:spacing w:val="-4"/>
        </w:rPr>
        <w:t xml:space="preserve"> </w:t>
      </w:r>
      <w:r>
        <w:t>microglia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anti-i</w:t>
      </w:r>
      <w:r>
        <w:t>nﬂammatory</w:t>
      </w:r>
      <w:r>
        <w:rPr>
          <w:spacing w:val="-4"/>
        </w:rPr>
        <w:t xml:space="preserve"> </w:t>
      </w:r>
      <w:r>
        <w:t>microglia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mathematical</w:t>
      </w:r>
      <w:r>
        <w:rPr>
          <w:spacing w:val="-4"/>
        </w:rPr>
        <w:t xml:space="preserve"> </w:t>
      </w:r>
      <w:r>
        <w:t xml:space="preserve">modeling </w:t>
      </w:r>
      <w:r>
        <w:rPr>
          <w:spacing w:val="-2"/>
        </w:rPr>
        <w:t>(kinetics) standpoint.</w:t>
      </w:r>
      <w:r>
        <w:rPr>
          <w:spacing w:val="18"/>
        </w:rPr>
        <w:t xml:space="preserve"> </w:t>
      </w:r>
      <w:r>
        <w:rPr>
          <w:spacing w:val="-2"/>
        </w:rPr>
        <w:t xml:space="preserve">We denote the quantities of inﬂammatory microglia, anti-inﬂammatory microglia, </w:t>
      </w:r>
      <w:r>
        <w:t xml:space="preserve">and regulatory T cells as </w:t>
      </w:r>
      <m:oMath>
        <m:sSub>
          <m:sSubPr>
            <m:ctrlPr>
              <w:rPr>
                <w:rFonts w:ascii="Cambria Math" w:hAnsi="Cambria Math"/>
                <w:i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2</m:t>
            </m:r>
          </m:sub>
        </m:sSub>
      </m:oMath>
      <w:r>
        <w:t>, and Treg, respectively.</w:t>
      </w:r>
      <w:r>
        <w:rPr>
          <w:spacing w:val="40"/>
        </w:rPr>
        <w:t xml:space="preserve"> </w:t>
      </w:r>
      <w:r w:rsidRPr="00FF14A9">
        <w:rPr>
          <w:highlight w:val="yellow"/>
        </w:rPr>
        <w:t xml:space="preserve">Here, we describe the dynamics of </w:t>
      </w:r>
      <m:oMath>
        <m:sSub>
          <m:sSubPr>
            <m:ctrlPr>
              <w:rPr>
                <w:rFonts w:ascii="Cambria Math" w:hAnsi="Cambria Math"/>
                <w:i/>
                <w:spacing w:val="-12"/>
                <w:highlight w:val="yellow"/>
              </w:rPr>
            </m:ctrlPr>
          </m:sSubPr>
          <m:e>
            <m:r>
              <w:rPr>
                <w:rFonts w:ascii="Cambria Math" w:hAnsi="Cambria Math"/>
                <w:spacing w:val="-12"/>
                <w:highlight w:val="yellow"/>
              </w:rPr>
              <m:t>M</m:t>
            </m:r>
          </m:e>
          <m:sub>
            <m:r>
              <w:rPr>
                <w:rFonts w:ascii="Cambria Math" w:hAnsi="Cambria Math"/>
                <w:spacing w:val="-12"/>
                <w:highlight w:val="yellow"/>
              </w:rPr>
              <m:t>1</m:t>
            </m:r>
          </m:sub>
        </m:sSub>
      </m:oMath>
      <w:r w:rsidRPr="00FF14A9">
        <w:rPr>
          <w:highlight w:val="yellow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pacing w:val="-12"/>
                <w:highlight w:val="yellow"/>
              </w:rPr>
            </m:ctrlPr>
          </m:sSubPr>
          <m:e>
            <m:r>
              <w:rPr>
                <w:rFonts w:ascii="Cambria Math" w:hAnsi="Cambria Math"/>
                <w:spacing w:val="-12"/>
                <w:highlight w:val="yellow"/>
              </w:rPr>
              <m:t>M</m:t>
            </m:r>
          </m:e>
          <m:sub>
            <m:r>
              <w:rPr>
                <w:rFonts w:ascii="Cambria Math" w:hAnsi="Cambria Math"/>
                <w:spacing w:val="-12"/>
                <w:highlight w:val="yellow"/>
              </w:rPr>
              <m:t>2</m:t>
            </m:r>
          </m:sub>
        </m:sSub>
      </m:oMath>
      <w:r w:rsidRPr="00FF14A9">
        <w:rPr>
          <w:highlight w:val="yellow"/>
        </w:rPr>
        <w:t xml:space="preserve">, and </w:t>
      </w:r>
      <w:r w:rsidRPr="00FF14A9">
        <w:rPr>
          <w:highlight w:val="yellow"/>
        </w:rPr>
        <w:t>Treg using the following rate equations as the simplest scenario:</w:t>
      </w:r>
    </w:p>
    <w:p w:rsidR="004B6585" w:rsidRDefault="004B6585">
      <w:pPr>
        <w:spacing w:line="336" w:lineRule="auto"/>
        <w:jc w:val="both"/>
      </w:pPr>
    </w:p>
    <w:p w:rsidR="00573F47" w:rsidRPr="00573F47" w:rsidRDefault="00573F47" w:rsidP="00C41646">
      <w:pPr>
        <w:spacing w:line="336" w:lineRule="auto"/>
        <w:jc w:val="center"/>
        <w:rPr>
          <w:rFonts w:eastAsiaTheme="minorEastAsia"/>
          <w:i/>
          <w:lang w:eastAsia="ja-JP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="ＭＳ 明朝" w:hAnsi="ＭＳ 明朝" w:cs="ＭＳ 明朝"/>
              </w:rPr>
              <m:t>dt</m:t>
            </m:r>
          </m:den>
        </m:f>
        <m:r>
          <w:rPr>
            <w:rFonts w:ascii="Cambria Math" w:hAnsi="Cambria Math"/>
          </w:rPr>
          <m:t>=α</m:t>
        </m:r>
        <m:sSub>
          <m:sSubPr>
            <m:ctrlPr>
              <w:rPr>
                <w:rFonts w:ascii="Cambria Math" w:eastAsiaTheme="minorEastAsia" w:hAnsi="Cambria Math"/>
                <w:i/>
                <w:lang w:eastAsia="ja-JP"/>
              </w:rPr>
            </m:ctrlPr>
          </m:sSubPr>
          <m:e>
            <m:r>
              <w:rPr>
                <w:rFonts w:ascii="Cambria Math" w:eastAsiaTheme="minorEastAsia" w:hAnsi="Cambria Math"/>
                <w:lang w:eastAsia="ja-JP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ja-JP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eastAsia="ja-JP"/>
              </w:rPr>
            </m:ctrlPr>
          </m:dPr>
          <m:e>
            <m:r>
              <w:rPr>
                <w:rFonts w:ascii="Cambria Math" w:eastAsiaTheme="minorEastAsia" w:hAnsi="Cambria Math"/>
                <w:lang w:eastAsia="ja-JP"/>
              </w:rPr>
              <m:t>t</m:t>
            </m:r>
          </m:e>
        </m:d>
        <m:r>
          <w:rPr>
            <w:rFonts w:ascii="Cambria Math" w:eastAsiaTheme="minorEastAsia" w:hAnsi="Cambria Math"/>
            <w:lang w:eastAsia="ja-JP"/>
          </w:rPr>
          <m:t>-β</m:t>
        </m:r>
        <m:sSub>
          <m:sSubPr>
            <m:ctrlPr>
              <w:rPr>
                <w:rFonts w:ascii="Cambria Math" w:eastAsiaTheme="minorEastAsia" w:hAnsi="Cambria Math"/>
                <w:i/>
                <w:lang w:eastAsia="ja-JP"/>
              </w:rPr>
            </m:ctrlPr>
          </m:sSubPr>
          <m:e>
            <m:r>
              <w:rPr>
                <w:rFonts w:ascii="Cambria Math" w:eastAsiaTheme="minorEastAsia" w:hAnsi="Cambria Math"/>
                <w:lang w:eastAsia="ja-JP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ja-JP"/>
              </w:rPr>
              <m:t>2</m:t>
            </m:r>
          </m:sub>
        </m:sSub>
        <m:r>
          <w:rPr>
            <w:rFonts w:ascii="Cambria Math" w:eastAsiaTheme="minorEastAsia" w:hAnsi="Cambria Math"/>
            <w:lang w:eastAsia="ja-JP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eastAsia="ja-JP"/>
              </w:rPr>
            </m:ctrlPr>
          </m:sSubPr>
          <m:e>
            <m:r>
              <w:rPr>
                <w:rFonts w:ascii="Cambria Math" w:eastAsiaTheme="minorEastAsia" w:hAnsi="Cambria Math"/>
                <w:lang w:eastAsia="ja-JP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eastAsia="ja-JP"/>
              </w:rPr>
              <m:t>1</m:t>
            </m:r>
          </m:sub>
        </m:sSub>
        <m:r>
          <w:rPr>
            <w:rFonts w:ascii="Cambria Math" w:eastAsiaTheme="minorEastAsia" w:hAnsi="Cambria Math"/>
            <w:lang w:eastAsia="ja-JP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eastAsia="ja-JP"/>
              </w:rPr>
            </m:ctrlPr>
          </m:sSubPr>
          <m:e>
            <m:r>
              <w:rPr>
                <w:rFonts w:ascii="Cambria Math" w:eastAsiaTheme="minorEastAsia" w:hAnsi="Cambria Math"/>
                <w:lang w:eastAsia="ja-JP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eastAsia="ja-JP"/>
              </w:rPr>
              <m:t>reg</m:t>
            </m:r>
          </m:sub>
        </m:sSub>
        <m:r>
          <w:rPr>
            <w:rFonts w:ascii="Cambria Math" w:eastAsiaTheme="minorEastAsia" w:hAnsi="Cambria Math"/>
            <w:lang w:eastAsia="ja-JP"/>
          </w:rPr>
          <m:t>)</m:t>
        </m:r>
      </m:oMath>
      <w:r w:rsidR="00C41646">
        <w:rPr>
          <w:rFonts w:eastAsiaTheme="minorEastAsia" w:hint="eastAsia"/>
          <w:i/>
          <w:lang w:eastAsia="ja-JP"/>
        </w:rPr>
        <w:t xml:space="preserve"> </w:t>
      </w:r>
      <w:r w:rsidR="00C41646">
        <w:rPr>
          <w:rFonts w:eastAsiaTheme="minorEastAsia"/>
          <w:i/>
          <w:lang w:eastAsia="ja-JP"/>
        </w:rPr>
        <w:t xml:space="preserve">                                             </w:t>
      </w:r>
      <w:r w:rsidR="0034034B" w:rsidRPr="00C41646">
        <w:rPr>
          <w:rFonts w:eastAsiaTheme="minorEastAsia"/>
          <w:iCs/>
          <w:lang w:eastAsia="ja-JP"/>
        </w:rPr>
        <w:t>(1)</w:t>
      </w:r>
    </w:p>
    <w:p w:rsidR="00573F47" w:rsidRPr="00573F47" w:rsidRDefault="00573F47" w:rsidP="00C41646">
      <w:pPr>
        <w:spacing w:line="336" w:lineRule="auto"/>
        <w:jc w:val="center"/>
        <w:rPr>
          <w:rFonts w:eastAsiaTheme="minorEastAsia"/>
          <w:i/>
          <w:lang w:eastAsia="ja-JP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="ＭＳ 明朝" w:hAnsi="ＭＳ 明朝" w:cs="ＭＳ 明朝"/>
              </w:rPr>
              <m:t>dt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  <w:lang w:eastAsia="ja-JP"/>
          </w:rPr>
          <m:t>β</m:t>
        </m:r>
        <m:sSub>
          <m:sSubPr>
            <m:ctrlPr>
              <w:rPr>
                <w:rFonts w:ascii="Cambria Math" w:eastAsiaTheme="minorEastAsia" w:hAnsi="Cambria Math"/>
                <w:i/>
                <w:lang w:eastAsia="ja-JP"/>
              </w:rPr>
            </m:ctrlPr>
          </m:sSubPr>
          <m:e>
            <m:r>
              <w:rPr>
                <w:rFonts w:ascii="Cambria Math" w:eastAsiaTheme="minorEastAsia" w:hAnsi="Cambria Math"/>
                <w:lang w:eastAsia="ja-JP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ja-JP"/>
              </w:rPr>
              <m:t>2</m:t>
            </m:r>
          </m:sub>
        </m:sSub>
        <m:r>
          <w:rPr>
            <w:rFonts w:ascii="Cambria Math" w:eastAsiaTheme="minorEastAsia" w:hAnsi="Cambria Math"/>
            <w:lang w:eastAsia="ja-JP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eastAsia="ja-JP"/>
              </w:rPr>
            </m:ctrlPr>
          </m:sSubPr>
          <m:e>
            <m:r>
              <w:rPr>
                <w:rFonts w:ascii="Cambria Math" w:eastAsiaTheme="minorEastAsia" w:hAnsi="Cambria Math"/>
                <w:lang w:eastAsia="ja-JP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eastAsia="ja-JP"/>
              </w:rPr>
              <m:t>1</m:t>
            </m:r>
          </m:sub>
        </m:sSub>
        <m:r>
          <w:rPr>
            <w:rFonts w:ascii="Cambria Math" w:eastAsiaTheme="minorEastAsia" w:hAnsi="Cambria Math"/>
            <w:lang w:eastAsia="ja-JP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eastAsia="ja-JP"/>
              </w:rPr>
            </m:ctrlPr>
          </m:sSubPr>
          <m:e>
            <m:r>
              <w:rPr>
                <w:rFonts w:ascii="Cambria Math" w:eastAsiaTheme="minorEastAsia" w:hAnsi="Cambria Math"/>
                <w:lang w:eastAsia="ja-JP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eastAsia="ja-JP"/>
              </w:rPr>
              <m:t>reg</m:t>
            </m:r>
          </m:sub>
        </m:sSub>
        <m:r>
          <w:rPr>
            <w:rFonts w:ascii="Cambria Math" w:eastAsiaTheme="minorEastAsia" w:hAnsi="Cambria Math"/>
            <w:lang w:eastAsia="ja-JP"/>
          </w:rPr>
          <m:t>)</m:t>
        </m:r>
        <m:r>
          <w:rPr>
            <w:rFonts w:ascii="Cambria Math" w:eastAsiaTheme="minorEastAsia" w:hAnsi="Cambria Math"/>
            <w:lang w:eastAsia="ja-JP"/>
          </w:rPr>
          <m:t xml:space="preserve"> </m:t>
        </m:r>
      </m:oMath>
      <w:r w:rsidR="00C41646">
        <w:rPr>
          <w:rFonts w:eastAsiaTheme="minorEastAsia" w:hint="eastAsia"/>
          <w:i/>
          <w:lang w:eastAsia="ja-JP"/>
        </w:rPr>
        <w:t xml:space="preserve"> </w:t>
      </w:r>
      <w:r w:rsidR="00C41646">
        <w:rPr>
          <w:rFonts w:eastAsiaTheme="minorEastAsia"/>
          <w:i/>
          <w:lang w:eastAsia="ja-JP"/>
        </w:rPr>
        <w:t xml:space="preserve">                                                            </w:t>
      </w:r>
      <w:r w:rsidR="0034034B" w:rsidRPr="00C41646">
        <w:rPr>
          <w:rFonts w:eastAsiaTheme="minorEastAsia" w:hint="eastAsia"/>
          <w:iCs/>
          <w:lang w:eastAsia="ja-JP"/>
        </w:rPr>
        <w:t>(</w:t>
      </w:r>
      <w:r w:rsidR="0034034B" w:rsidRPr="00C41646">
        <w:rPr>
          <w:rFonts w:eastAsiaTheme="minorEastAsia"/>
          <w:iCs/>
          <w:lang w:eastAsia="ja-JP"/>
        </w:rPr>
        <w:t>2)</w:t>
      </w:r>
    </w:p>
    <w:p w:rsidR="00573F47" w:rsidRPr="0034034B" w:rsidRDefault="00573F47" w:rsidP="00C41646">
      <w:pPr>
        <w:spacing w:line="336" w:lineRule="auto"/>
        <w:jc w:val="center"/>
        <w:rPr>
          <w:rFonts w:eastAsiaTheme="minorEastAsia"/>
          <w:i/>
          <w:lang w:eastAsia="ja-JP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reg</m:t>
                </m:r>
              </m:sub>
            </m:sSub>
          </m:num>
          <m:den>
            <m:r>
              <w:rPr>
                <w:rFonts w:ascii="Cambria Math" w:eastAsia="ＭＳ 明朝" w:hAnsi="ＭＳ 明朝" w:cs="ＭＳ 明朝"/>
              </w:rPr>
              <m:t>dt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eastAsia="ja-JP"/>
              </w:rPr>
            </m:ctrlPr>
          </m:sSubPr>
          <m:e>
            <m:r>
              <w:rPr>
                <w:rFonts w:ascii="Cambria Math" w:eastAsiaTheme="minorEastAsia" w:hAnsi="Cambria Math"/>
                <w:lang w:eastAsia="ja-JP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ja-JP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eastAsia="ja-JP"/>
              </w:rPr>
            </m:ctrlPr>
          </m:dPr>
          <m:e>
            <m:r>
              <w:rPr>
                <w:rFonts w:ascii="Cambria Math" w:eastAsiaTheme="minorEastAsia" w:hAnsi="Cambria Math"/>
                <w:lang w:eastAsia="ja-JP"/>
              </w:rPr>
              <m:t>t</m:t>
            </m:r>
          </m:e>
        </m:d>
      </m:oMath>
      <w:r w:rsidR="00187320">
        <w:rPr>
          <w:rFonts w:eastAsiaTheme="minorEastAsia" w:hint="eastAsia"/>
          <w:i/>
          <w:lang w:eastAsia="ja-JP"/>
        </w:rPr>
        <w:t>.</w:t>
      </w:r>
      <w:r w:rsidR="0034034B">
        <w:rPr>
          <w:rFonts w:eastAsiaTheme="minorEastAsia" w:hint="eastAsia"/>
          <w:i/>
          <w:lang w:eastAsia="ja-JP"/>
        </w:rPr>
        <w:t xml:space="preserve"> </w:t>
      </w:r>
      <w:r w:rsidR="00C41646">
        <w:rPr>
          <w:rFonts w:eastAsiaTheme="minorEastAsia"/>
          <w:i/>
          <w:lang w:eastAsia="ja-JP"/>
        </w:rPr>
        <w:t xml:space="preserve">                                                                          </w:t>
      </w:r>
      <w:r w:rsidR="0034034B" w:rsidRPr="00C41646">
        <w:rPr>
          <w:rFonts w:eastAsiaTheme="minorEastAsia" w:hint="eastAsia"/>
          <w:iCs/>
          <w:lang w:eastAsia="ja-JP"/>
        </w:rPr>
        <w:t>(</w:t>
      </w:r>
      <w:r w:rsidR="0034034B" w:rsidRPr="00C41646">
        <w:rPr>
          <w:rFonts w:eastAsiaTheme="minorEastAsia"/>
          <w:iCs/>
          <w:lang w:eastAsia="ja-JP"/>
        </w:rPr>
        <w:t>3)</w:t>
      </w:r>
    </w:p>
    <w:p w:rsidR="00573F47" w:rsidRPr="00573F47" w:rsidRDefault="00573F47">
      <w:pPr>
        <w:spacing w:line="336" w:lineRule="auto"/>
        <w:jc w:val="both"/>
        <w:rPr>
          <w:rFonts w:eastAsiaTheme="minorEastAsia" w:hint="eastAsia"/>
          <w:lang w:eastAsia="ja-JP"/>
        </w:rPr>
      </w:pPr>
    </w:p>
    <w:p w:rsidR="00573F47" w:rsidRDefault="00573F47">
      <w:pPr>
        <w:spacing w:line="336" w:lineRule="auto"/>
        <w:jc w:val="both"/>
        <w:sectPr w:rsidR="00573F47">
          <w:footerReference w:type="default" r:id="rId6"/>
          <w:type w:val="continuous"/>
          <w:pgSz w:w="11910" w:h="16840"/>
          <w:pgMar w:top="1920" w:right="1320" w:bottom="1480" w:left="1320" w:header="0" w:footer="1285" w:gutter="0"/>
          <w:pgNumType w:start="1"/>
          <w:cols w:space="720"/>
        </w:sectPr>
      </w:pPr>
    </w:p>
    <w:p w:rsidR="00FF14A9" w:rsidRDefault="0042640F" w:rsidP="00FF14A9">
      <w:pPr>
        <w:pStyle w:val="a3"/>
        <w:spacing w:before="126" w:line="319" w:lineRule="auto"/>
        <w:ind w:left="118" w:right="115"/>
        <w:jc w:val="both"/>
      </w:pPr>
      <w:r>
        <w:t>Equation</w:t>
      </w:r>
      <w:r>
        <w:rPr>
          <w:spacing w:val="-13"/>
        </w:rPr>
        <w:t xml:space="preserve"> </w:t>
      </w:r>
      <w:r>
        <w:t>(1)</w:t>
      </w:r>
      <w:r>
        <w:rPr>
          <w:spacing w:val="-12"/>
        </w:rPr>
        <w:t xml:space="preserve"> </w:t>
      </w:r>
      <w:r>
        <w:t>describes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dynamics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1</m:t>
            </m:r>
          </m:sub>
        </m:sSub>
      </m:oMath>
      <w:r>
        <w:t>.</w:t>
      </w:r>
      <w:r>
        <w:rPr>
          <w:spacing w:val="-12"/>
        </w:rPr>
        <w:t xml:space="preserve"> </w:t>
      </w:r>
      <w:r>
        <w:t>Based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observations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microglia</w:t>
      </w:r>
      <w:r>
        <w:rPr>
          <w:spacing w:val="-12"/>
        </w:rPr>
        <w:t xml:space="preserve"> </w:t>
      </w:r>
      <w:r>
        <w:t>monotonically</w:t>
      </w:r>
      <w:r>
        <w:rPr>
          <w:spacing w:val="-12"/>
        </w:rPr>
        <w:t xml:space="preserve"> </w:t>
      </w:r>
      <w:r>
        <w:t xml:space="preserve">increase </w:t>
      </w:r>
      <w:r>
        <w:rPr>
          <w:spacing w:val="-2"/>
        </w:rPr>
        <w:t>up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 xml:space="preserve"> </w:t>
      </w:r>
      <w:r>
        <w:rPr>
          <w:spacing w:val="-2"/>
        </w:rPr>
        <w:t>certain</w:t>
      </w:r>
      <w:r>
        <w:rPr>
          <w:spacing w:val="-5"/>
        </w:rPr>
        <w:t xml:space="preserve"> </w:t>
      </w:r>
      <w:r>
        <w:rPr>
          <w:spacing w:val="-2"/>
        </w:rPr>
        <w:t>limit</w:t>
      </w:r>
      <w:r>
        <w:rPr>
          <w:spacing w:val="-6"/>
        </w:rPr>
        <w:t xml:space="preserve"> </w:t>
      </w:r>
      <w:r>
        <w:rPr>
          <w:spacing w:val="-2"/>
        </w:rPr>
        <w:t>during</w:t>
      </w:r>
      <w:r>
        <w:rPr>
          <w:spacing w:val="-6"/>
        </w:rPr>
        <w:t xml:space="preserve"> </w:t>
      </w:r>
      <w:r>
        <w:rPr>
          <w:spacing w:val="-2"/>
        </w:rPr>
        <w:t>sepsis, the</w:t>
      </w:r>
      <w:r>
        <w:rPr>
          <w:spacing w:val="-5"/>
        </w:rPr>
        <w:t xml:space="preserve"> </w:t>
      </w:r>
      <w:r>
        <w:rPr>
          <w:spacing w:val="-2"/>
        </w:rPr>
        <w:t>function</w:t>
      </w:r>
      <w:r>
        <w:rPr>
          <w:spacing w:val="-5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-5"/>
              </w:rPr>
            </m:ctrlPr>
          </m:sSubPr>
          <m:e>
            <m:r>
              <w:rPr>
                <w:rFonts w:ascii="Cambria Math" w:hAnsi="Cambria Math"/>
                <w:spacing w:val="-5"/>
              </w:rPr>
              <m:t>f</m:t>
            </m:r>
          </m:e>
          <m:sub>
            <m:r>
              <w:rPr>
                <w:rFonts w:ascii="Cambria Math" w:hAnsi="Cambria Math"/>
                <w:spacing w:val="-5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pacing w:val="-5"/>
              </w:rPr>
            </m:ctrlPr>
          </m:dPr>
          <m:e>
            <m:r>
              <w:rPr>
                <w:rFonts w:ascii="Cambria Math" w:hAnsi="Cambria Math"/>
                <w:spacing w:val="-5"/>
              </w:rPr>
              <m:t>t</m:t>
            </m:r>
          </m:e>
        </m:d>
      </m:oMath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5"/>
        </w:rPr>
        <w:t xml:space="preserve"> </w:t>
      </w:r>
      <w:r>
        <w:rPr>
          <w:spacing w:val="-2"/>
        </w:rPr>
        <w:t>assumed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be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 xml:space="preserve"> </w:t>
      </w:r>
      <w:r>
        <w:rPr>
          <w:spacing w:val="-2"/>
        </w:rPr>
        <w:t>monotonically</w:t>
      </w:r>
      <w:r>
        <w:rPr>
          <w:spacing w:val="-5"/>
        </w:rPr>
        <w:t xml:space="preserve"> </w:t>
      </w:r>
      <w:r>
        <w:rPr>
          <w:spacing w:val="-2"/>
        </w:rPr>
        <w:t>increasing</w:t>
      </w:r>
      <w:r>
        <w:rPr>
          <w:spacing w:val="-6"/>
        </w:rPr>
        <w:t xml:space="preserve"> </w:t>
      </w:r>
      <w:r>
        <w:rPr>
          <w:spacing w:val="-2"/>
        </w:rPr>
        <w:t xml:space="preserve">function </w:t>
      </w:r>
      <w:r>
        <w:t>with an upper limit.</w:t>
      </w:r>
      <w:r>
        <w:rPr>
          <w:spacing w:val="40"/>
        </w:rPr>
        <w:t xml:space="preserve"> </w:t>
      </w:r>
      <w:r>
        <w:t>Additionally, the second term in Equation (1) represents the transition from inﬂammatory microglia to anti-inﬂammatory microglia, and it is an increasing f</w:t>
      </w:r>
      <w:r>
        <w:t>unction with respect</w:t>
      </w:r>
      <w:r>
        <w:rPr>
          <w:spacing w:val="40"/>
        </w:rPr>
        <w:t xml:space="preserve"> </w:t>
      </w:r>
      <w:r>
        <w:t xml:space="preserve">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reg</m:t>
            </m:r>
          </m:sub>
        </m:sSub>
      </m:oMath>
      <w:r>
        <w:t>.</w:t>
      </w:r>
      <w:r>
        <w:rPr>
          <w:spacing w:val="40"/>
        </w:rPr>
        <w:t xml:space="preserve"> </w:t>
      </w:r>
      <w:r>
        <w:t xml:space="preserve">Equation (2) represents the dynamics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  <w:r>
        <w:rPr>
          <w:spacing w:val="40"/>
        </w:rPr>
        <w:t xml:space="preserve"> </w:t>
      </w:r>
      <w:r w:rsidRPr="00FF14A9">
        <w:rPr>
          <w:highlight w:val="yellow"/>
        </w:rPr>
        <w:t>It should be noted that (1) + (2) is conserved.</w:t>
      </w:r>
      <w:r>
        <w:rPr>
          <w:spacing w:val="63"/>
        </w:rPr>
        <w:t xml:space="preserve"> </w:t>
      </w:r>
      <w:r>
        <w:t>Finally,</w:t>
      </w:r>
      <w:r>
        <w:rPr>
          <w:spacing w:val="21"/>
        </w:rPr>
        <w:t xml:space="preserve"> </w:t>
      </w:r>
      <w:r>
        <w:t>Equation</w:t>
      </w:r>
      <w:r>
        <w:rPr>
          <w:spacing w:val="17"/>
        </w:rPr>
        <w:t xml:space="preserve"> </w:t>
      </w:r>
      <w:r>
        <w:t>(3)</w:t>
      </w:r>
      <w:r>
        <w:rPr>
          <w:spacing w:val="17"/>
        </w:rPr>
        <w:t xml:space="preserve"> </w:t>
      </w:r>
      <w:r>
        <w:t>represents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dynamics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reg</m:t>
            </m:r>
          </m:sub>
        </m:sSub>
      </m:oMath>
      <w:r>
        <w:t>.</w:t>
      </w:r>
      <w:r>
        <w:rPr>
          <w:spacing w:val="63"/>
        </w:rPr>
        <w:t xml:space="preserve"> </w:t>
      </w:r>
      <w:r>
        <w:t>Since</w:t>
      </w:r>
      <w:r>
        <w:rPr>
          <w:spacing w:val="17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known</w:t>
      </w:r>
      <w:r>
        <w:rPr>
          <w:spacing w:val="17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regulatory T</w:t>
      </w:r>
      <w:r>
        <w:rPr>
          <w:spacing w:val="31"/>
        </w:rPr>
        <w:t xml:space="preserve"> </w:t>
      </w:r>
      <w:r>
        <w:t>cells</w:t>
      </w:r>
      <w:r>
        <w:rPr>
          <w:spacing w:val="31"/>
        </w:rPr>
        <w:t xml:space="preserve"> </w:t>
      </w:r>
      <w:r>
        <w:t>continue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increase</w:t>
      </w:r>
      <w:r>
        <w:rPr>
          <w:spacing w:val="31"/>
        </w:rPr>
        <w:t xml:space="preserve"> </w:t>
      </w:r>
      <w:r>
        <w:t>during</w:t>
      </w:r>
      <w:r>
        <w:rPr>
          <w:spacing w:val="31"/>
        </w:rPr>
        <w:t xml:space="preserve"> </w:t>
      </w:r>
      <w:r>
        <w:t>sepsis,</w:t>
      </w:r>
      <w:r>
        <w:rPr>
          <w:spacing w:val="37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37"/>
              </w:rPr>
            </m:ctrlPr>
          </m:sSubPr>
          <m:e>
            <m:r>
              <w:rPr>
                <w:rFonts w:ascii="Cambria Math" w:hAnsi="Cambria Math"/>
                <w:spacing w:val="37"/>
              </w:rPr>
              <m:t>f</m:t>
            </m:r>
          </m:e>
          <m:sub>
            <m:r>
              <w:rPr>
                <w:rFonts w:ascii="Cambria Math" w:hAnsi="Cambria Math"/>
                <w:spacing w:val="37"/>
              </w:rPr>
              <m:t>3</m:t>
            </m:r>
          </m:sub>
        </m:sSub>
        <m:r>
          <w:rPr>
            <w:rFonts w:ascii="Cambria Math" w:hAnsi="Cambria Math"/>
            <w:spacing w:val="37"/>
          </w:rPr>
          <m:t>&gt;0</m:t>
        </m:r>
      </m:oMath>
      <w:r>
        <w:t>.</w:t>
      </w:r>
      <w:r>
        <w:rPr>
          <w:spacing w:val="80"/>
        </w:rPr>
        <w:t xml:space="preserve"> </w:t>
      </w:r>
      <w:r>
        <w:t>From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 w:rsidR="00FF14A9">
        <w:t>Fig.1</w:t>
      </w:r>
      <w:r>
        <w:t>,</w:t>
      </w:r>
      <w:r>
        <w:rPr>
          <w:spacing w:val="36"/>
        </w:rPr>
        <w:t xml:space="preserve"> </w:t>
      </w:r>
      <w:r>
        <w:t>it</w:t>
      </w:r>
      <w:r>
        <w:rPr>
          <w:spacing w:val="31"/>
        </w:rPr>
        <w:t xml:space="preserve"> </w:t>
      </w:r>
      <w:r>
        <w:t>can</w:t>
      </w:r>
      <w:r>
        <w:rPr>
          <w:spacing w:val="31"/>
        </w:rPr>
        <w:t xml:space="preserve"> </w:t>
      </w:r>
      <w:r>
        <w:t>be</w:t>
      </w:r>
      <w:r>
        <w:rPr>
          <w:spacing w:val="31"/>
        </w:rPr>
        <w:t xml:space="preserve"> </w:t>
      </w:r>
      <w:r>
        <w:t>observed</w:t>
      </w:r>
      <w:r>
        <w:rPr>
          <w:spacing w:val="31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at</w:t>
      </w:r>
      <w:r>
        <w:rPr>
          <w:spacing w:val="31"/>
        </w:rPr>
        <w:t xml:space="preserve"> </w:t>
      </w:r>
      <w:r>
        <w:t>the onset of sepsis, inﬂammatory microglia (</w:t>
      </w:r>
      <m:oMath>
        <m:sSub>
          <m:sSubPr>
            <m:ctrlPr>
              <w:rPr>
                <w:rFonts w:ascii="Cambria Math" w:hAnsi="Cambria Math"/>
                <w:i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1</m:t>
            </m:r>
          </m:sub>
        </m:sSub>
      </m:oMath>
      <w:r>
        <w:t>) increase sharply.</w:t>
      </w:r>
      <w:r>
        <w:rPr>
          <w:spacing w:val="40"/>
        </w:rPr>
        <w:t xml:space="preserve"> </w:t>
      </w:r>
      <w:r>
        <w:t xml:space="preserve">After a suﬃcient increase in </w:t>
      </w:r>
      <m:oMath>
        <m:sSub>
          <m:sSubPr>
            <m:ctrlPr>
              <w:rPr>
                <w:rFonts w:ascii="Cambria Math" w:hAnsi="Cambria Math"/>
                <w:i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1</m:t>
            </m:r>
          </m:sub>
        </m:sSub>
      </m:oMath>
      <w:r>
        <w:t>, anti- inﬂammatory microglia (</w:t>
      </w:r>
      <m:oMath>
        <m:sSub>
          <m:sSubPr>
            <m:ctrlPr>
              <w:rPr>
                <w:rFonts w:ascii="Cambria Math" w:hAnsi="Cambria Math"/>
                <w:i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2</m:t>
            </m:r>
          </m:sub>
        </m:sSub>
      </m:oMath>
      <w:r>
        <w:t>) gradually increase, leading to a decrease in inﬂammatory m</w:t>
      </w:r>
      <w:r>
        <w:t>icroglia cells. The rate of decrease of inﬂammatory microglia depends strongly on the form of</w:t>
      </w:r>
      <w:r w:rsidRPr="00FF14A9"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f</m:t>
            </m:r>
          </m:e>
          <m:sub>
            <m:r>
              <w:rPr>
                <w:rFonts w:ascii="Cambria Math" w:hAnsi="Cambria Math"/>
                <w:spacing w:val="-12"/>
              </w:rPr>
              <m:t>2</m:t>
            </m:r>
          </m:sub>
        </m:sSub>
      </m:oMath>
      <w:r w:rsidRPr="00FF14A9">
        <w:rPr>
          <w:rFonts w:ascii="Bauhaus 93" w:hAnsi="Bauhaus 93"/>
          <w:iCs/>
          <w:spacing w:val="29"/>
          <w:sz w:val="14"/>
        </w:rPr>
        <w:t xml:space="preserve"> </w:t>
      </w:r>
      <w:r w:rsidRPr="00FF14A9">
        <w:rPr>
          <w:iCs/>
        </w:rPr>
        <w:t>a</w:t>
      </w:r>
      <w:r>
        <w:t xml:space="preserve">nd the parameter 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>
        <w:t>.</w:t>
      </w:r>
      <w:r>
        <w:rPr>
          <w:spacing w:val="40"/>
        </w:rPr>
        <w:t xml:space="preserve"> </w:t>
      </w:r>
      <w:r>
        <w:t>To determine these, it is necessary to elucidate the mechanisms of regulatory T cells and anti- inﬂammatory microglia.</w:t>
      </w:r>
      <w:r>
        <w:rPr>
          <w:spacing w:val="40"/>
        </w:rPr>
        <w:t xml:space="preserve"> </w:t>
      </w:r>
      <w:r>
        <w:t>Furthermore, by com</w:t>
      </w:r>
      <w:r>
        <w:t>paring the time series of regulatory T cells and anti- inﬂammatory microglia quantities, quantitative predictions become feasible.</w:t>
      </w:r>
    </w:p>
    <w:p w:rsidR="00FF14A9" w:rsidRDefault="00FF14A9" w:rsidP="00FF14A9">
      <w:pPr>
        <w:spacing w:line="278" w:lineRule="auto"/>
        <w:ind w:left="685" w:right="393"/>
        <w:jc w:val="center"/>
        <w:rPr>
          <w:rFonts w:ascii="ＭＳ 明朝" w:eastAsia="ＭＳ 明朝" w:hAnsi="ＭＳ 明朝" w:cs="ＭＳ 明朝"/>
          <w:w w:val="105"/>
          <w:position w:val="2"/>
          <w:sz w:val="18"/>
          <w:lang w:eastAsia="ja-JP"/>
        </w:rPr>
      </w:pPr>
      <w:r w:rsidRPr="00C41646">
        <w:drawing>
          <wp:inline distT="0" distB="0" distL="0" distR="0" wp14:anchorId="79D7878A" wp14:editId="5C77BBCE">
            <wp:extent cx="2743200" cy="1828800"/>
            <wp:effectExtent l="0" t="0" r="0" b="0"/>
            <wp:docPr id="463805226" name="グラフィックス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805226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818" cy="184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585" w:rsidRPr="00FF14A9" w:rsidRDefault="00FF14A9" w:rsidP="00FF14A9">
      <w:pPr>
        <w:spacing w:line="278" w:lineRule="auto"/>
        <w:ind w:left="685" w:right="393"/>
        <w:rPr>
          <w:rFonts w:ascii="Book Antiqua" w:eastAsia="Book Antiqua" w:hAnsi="Book Antiqua"/>
          <w:sz w:val="18"/>
        </w:rPr>
        <w:sectPr w:rsidR="004B6585" w:rsidRPr="00FF14A9">
          <w:type w:val="continuous"/>
          <w:pgSz w:w="11910" w:h="16840"/>
          <w:pgMar w:top="1920" w:right="1320" w:bottom="1480" w:left="1320" w:header="0" w:footer="1285" w:gutter="0"/>
          <w:cols w:space="720"/>
        </w:sectPr>
      </w:pPr>
      <w:r>
        <w:rPr>
          <w:rFonts w:ascii="ＭＳ 明朝" w:eastAsia="ＭＳ 明朝" w:hAnsi="ＭＳ 明朝" w:cs="ＭＳ 明朝" w:hint="eastAsia"/>
          <w:w w:val="105"/>
          <w:position w:val="2"/>
          <w:sz w:val="18"/>
          <w:lang w:eastAsia="ja-JP"/>
        </w:rPr>
        <w:t>F</w:t>
      </w:r>
      <w:r>
        <w:rPr>
          <w:rFonts w:ascii="ＭＳ 明朝" w:eastAsia="ＭＳ 明朝" w:hAnsi="ＭＳ 明朝" w:cs="ＭＳ 明朝"/>
          <w:w w:val="105"/>
          <w:position w:val="2"/>
          <w:sz w:val="18"/>
          <w:lang w:eastAsia="ja-JP"/>
        </w:rPr>
        <w:t>ig.</w:t>
      </w:r>
      <w:r>
        <w:rPr>
          <w:rFonts w:ascii="Book Antiqua" w:eastAsia="Book Antiqua" w:hAnsi="Book Antiqua"/>
          <w:w w:val="105"/>
          <w:position w:val="2"/>
          <w:sz w:val="18"/>
        </w:rPr>
        <w:t>1</w:t>
      </w:r>
      <w:r>
        <w:rPr>
          <w:rFonts w:ascii="Book Antiqua" w:eastAsia="Book Antiqua" w:hAnsi="Book Antiqua"/>
          <w:spacing w:val="80"/>
          <w:w w:val="150"/>
          <w:position w:val="2"/>
          <w:sz w:val="18"/>
        </w:rPr>
        <w:t xml:space="preserve"> </w:t>
      </w:r>
      <w:r>
        <w:rPr>
          <w:rFonts w:ascii="Book Antiqua" w:eastAsia="Book Antiqua" w:hAnsi="Book Antiqua"/>
          <w:w w:val="105"/>
          <w:position w:val="2"/>
          <w:sz w:val="18"/>
        </w:rPr>
        <w:t>Time</w:t>
      </w:r>
      <w:r>
        <w:rPr>
          <w:rFonts w:ascii="Book Antiqua" w:eastAsia="Book Antiqua" w:hAnsi="Book Antiqua"/>
          <w:spacing w:val="40"/>
          <w:w w:val="105"/>
          <w:position w:val="2"/>
          <w:sz w:val="18"/>
        </w:rPr>
        <w:t xml:space="preserve"> </w:t>
      </w:r>
      <w:r>
        <w:rPr>
          <w:rFonts w:ascii="Book Antiqua" w:eastAsia="Book Antiqua" w:hAnsi="Book Antiqua"/>
          <w:w w:val="105"/>
          <w:position w:val="2"/>
          <w:sz w:val="18"/>
        </w:rPr>
        <w:t>series</w:t>
      </w:r>
      <w:r>
        <w:rPr>
          <w:rFonts w:ascii="Book Antiqua" w:eastAsia="Book Antiqua" w:hAnsi="Book Antiqua"/>
          <w:spacing w:val="40"/>
          <w:w w:val="105"/>
          <w:position w:val="2"/>
          <w:sz w:val="18"/>
        </w:rPr>
        <w:t xml:space="preserve"> </w:t>
      </w:r>
      <w:r>
        <w:rPr>
          <w:rFonts w:ascii="Book Antiqua" w:eastAsia="Book Antiqua" w:hAnsi="Book Antiqua"/>
          <w:w w:val="105"/>
          <w:position w:val="2"/>
          <w:sz w:val="18"/>
        </w:rPr>
        <w:t>of</w:t>
      </w:r>
      <w:r>
        <w:rPr>
          <w:rFonts w:ascii="Book Antiqua" w:eastAsia="Book Antiqua" w:hAnsi="Book Antiqua"/>
          <w:spacing w:val="40"/>
          <w:w w:val="105"/>
          <w:position w:val="2"/>
          <w:sz w:val="18"/>
        </w:rPr>
        <w:t xml:space="preserve"> </w:t>
      </w:r>
      <w:r>
        <w:rPr>
          <w:rFonts w:ascii="Bookman Old Style" w:eastAsia="Bookman Old Style" w:hAnsi="Bookman Old Style"/>
          <w:i/>
          <w:w w:val="105"/>
          <w:position w:val="2"/>
          <w:sz w:val="18"/>
        </w:rPr>
        <w:t>M</w:t>
      </w:r>
      <w:r>
        <w:rPr>
          <w:rFonts w:ascii="Bookman Old Style" w:eastAsia="Bookman Old Style" w:hAnsi="Bookman Old Style"/>
          <w:w w:val="105"/>
          <w:sz w:val="12"/>
        </w:rPr>
        <w:t>1</w:t>
      </w:r>
      <w:r>
        <w:rPr>
          <w:rFonts w:ascii="Book Antiqua" w:eastAsia="Book Antiqua" w:hAnsi="Book Antiqua"/>
          <w:w w:val="105"/>
          <w:position w:val="2"/>
          <w:sz w:val="18"/>
        </w:rPr>
        <w:t>,</w:t>
      </w:r>
      <w:r>
        <w:rPr>
          <w:rFonts w:ascii="Book Antiqua" w:eastAsia="Book Antiqua" w:hAnsi="Book Antiqua"/>
          <w:spacing w:val="62"/>
          <w:w w:val="105"/>
          <w:position w:val="2"/>
          <w:sz w:val="18"/>
        </w:rPr>
        <w:t xml:space="preserve"> </w:t>
      </w:r>
      <w:r>
        <w:rPr>
          <w:rFonts w:ascii="Bookman Old Style" w:eastAsia="Bookman Old Style" w:hAnsi="Bookman Old Style"/>
          <w:i/>
          <w:w w:val="105"/>
          <w:position w:val="2"/>
          <w:sz w:val="18"/>
        </w:rPr>
        <w:t>M</w:t>
      </w:r>
      <w:r>
        <w:rPr>
          <w:rFonts w:ascii="Bookman Old Style" w:eastAsia="Bookman Old Style" w:hAnsi="Bookman Old Style"/>
          <w:w w:val="105"/>
          <w:sz w:val="12"/>
        </w:rPr>
        <w:t>2</w:t>
      </w:r>
      <w:r>
        <w:rPr>
          <w:rFonts w:ascii="Bookman Old Style" w:eastAsia="Bookman Old Style" w:hAnsi="Bookman Old Style"/>
          <w:spacing w:val="68"/>
          <w:w w:val="105"/>
          <w:sz w:val="12"/>
        </w:rPr>
        <w:t xml:space="preserve"> </w:t>
      </w:r>
      <w:r>
        <w:rPr>
          <w:rFonts w:ascii="Book Antiqua" w:eastAsia="Book Antiqua" w:hAnsi="Book Antiqua"/>
          <w:w w:val="105"/>
          <w:position w:val="2"/>
          <w:sz w:val="18"/>
        </w:rPr>
        <w:t>and</w:t>
      </w:r>
      <w:r>
        <w:rPr>
          <w:rFonts w:ascii="Book Antiqua" w:eastAsia="Book Antiqua" w:hAnsi="Book Antiqua"/>
          <w:spacing w:val="40"/>
          <w:w w:val="105"/>
          <w:position w:val="2"/>
          <w:sz w:val="18"/>
        </w:rPr>
        <w:t xml:space="preserve"> </w:t>
      </w:r>
      <w:r>
        <w:rPr>
          <w:rFonts w:ascii="Bookman Old Style" w:eastAsia="Bookman Old Style" w:hAnsi="Bookman Old Style"/>
          <w:i/>
          <w:w w:val="105"/>
          <w:position w:val="2"/>
          <w:sz w:val="18"/>
        </w:rPr>
        <w:t>M</w:t>
      </w:r>
      <w:r>
        <w:rPr>
          <w:rFonts w:ascii="Bookman Old Style" w:eastAsia="Bookman Old Style" w:hAnsi="Bookman Old Style"/>
          <w:w w:val="105"/>
          <w:sz w:val="12"/>
        </w:rPr>
        <w:t>1</w:t>
      </w:r>
      <w:r>
        <w:rPr>
          <w:rFonts w:ascii="Bookman Old Style" w:eastAsia="Bookman Old Style" w:hAnsi="Bookman Old Style"/>
          <w:spacing w:val="36"/>
          <w:w w:val="105"/>
          <w:sz w:val="12"/>
        </w:rPr>
        <w:t xml:space="preserve"> </w:t>
      </w:r>
      <w:r>
        <w:rPr>
          <w:rFonts w:ascii="Book Antiqua" w:eastAsia="Book Antiqua" w:hAnsi="Book Antiqua"/>
          <w:spacing w:val="9"/>
          <w:w w:val="105"/>
          <w:position w:val="2"/>
          <w:sz w:val="18"/>
        </w:rPr>
        <w:t xml:space="preserve">+ </w:t>
      </w:r>
      <w:r>
        <w:rPr>
          <w:rFonts w:ascii="Bookman Old Style" w:eastAsia="Bookman Old Style" w:hAnsi="Bookman Old Style"/>
          <w:i/>
          <w:w w:val="105"/>
          <w:position w:val="2"/>
          <w:sz w:val="18"/>
        </w:rPr>
        <w:t>M</w:t>
      </w:r>
      <w:r>
        <w:rPr>
          <w:rFonts w:ascii="Bookman Old Style" w:eastAsia="Bookman Old Style" w:hAnsi="Bookman Old Style"/>
          <w:w w:val="105"/>
          <w:sz w:val="12"/>
        </w:rPr>
        <w:t>2</w:t>
      </w:r>
      <w:r>
        <w:rPr>
          <w:rFonts w:ascii="Book Antiqua" w:eastAsia="Book Antiqua" w:hAnsi="Book Antiqua"/>
          <w:w w:val="105"/>
          <w:position w:val="2"/>
          <w:sz w:val="18"/>
        </w:rPr>
        <w:t>.</w:t>
      </w:r>
      <w:r>
        <w:rPr>
          <w:rFonts w:ascii="Book Antiqua" w:eastAsia="Book Antiqua" w:hAnsi="Book Antiqua"/>
          <w:spacing w:val="40"/>
          <w:w w:val="105"/>
          <w:position w:val="2"/>
          <w:sz w:val="18"/>
        </w:rPr>
        <w:t xml:space="preserve">  </w:t>
      </w:r>
      <w:r>
        <w:rPr>
          <w:rFonts w:ascii="Book Antiqua" w:eastAsia="Book Antiqua" w:hAnsi="Book Antiqua"/>
          <w:w w:val="105"/>
          <w:position w:val="2"/>
          <w:sz w:val="18"/>
        </w:rPr>
        <w:t>The</w:t>
      </w:r>
      <w:r>
        <w:rPr>
          <w:rFonts w:ascii="Book Antiqua" w:eastAsia="Book Antiqua" w:hAnsi="Book Antiqua"/>
          <w:spacing w:val="40"/>
          <w:w w:val="105"/>
          <w:position w:val="2"/>
          <w:sz w:val="18"/>
        </w:rPr>
        <w:t xml:space="preserve"> </w:t>
      </w:r>
      <w:r>
        <w:rPr>
          <w:rFonts w:ascii="Book Antiqua" w:eastAsia="Book Antiqua" w:hAnsi="Book Antiqua"/>
          <w:w w:val="105"/>
          <w:position w:val="2"/>
          <w:sz w:val="18"/>
        </w:rPr>
        <w:t>functional</w:t>
      </w:r>
      <w:r>
        <w:rPr>
          <w:rFonts w:ascii="Book Antiqua" w:eastAsia="Book Antiqua" w:hAnsi="Book Antiqua"/>
          <w:spacing w:val="40"/>
          <w:w w:val="105"/>
          <w:position w:val="2"/>
          <w:sz w:val="18"/>
        </w:rPr>
        <w:t xml:space="preserve"> </w:t>
      </w:r>
      <w:r>
        <w:rPr>
          <w:rFonts w:ascii="Book Antiqua" w:eastAsia="Book Antiqua" w:hAnsi="Book Antiqua"/>
          <w:w w:val="105"/>
          <w:position w:val="2"/>
          <w:sz w:val="18"/>
        </w:rPr>
        <w:t>form</w:t>
      </w:r>
      <w:r>
        <w:rPr>
          <w:rFonts w:ascii="Book Antiqua" w:eastAsia="Book Antiqua" w:hAnsi="Book Antiqua"/>
          <w:spacing w:val="40"/>
          <w:w w:val="105"/>
          <w:position w:val="2"/>
          <w:sz w:val="18"/>
        </w:rPr>
        <w:t xml:space="preserve"> </w:t>
      </w:r>
      <w:r>
        <w:rPr>
          <w:rFonts w:ascii="Book Antiqua" w:eastAsia="Book Antiqua" w:hAnsi="Book Antiqua"/>
          <w:w w:val="105"/>
          <w:position w:val="2"/>
          <w:sz w:val="18"/>
        </w:rPr>
        <w:t>is</w:t>
      </w:r>
      <w:r>
        <w:rPr>
          <w:rFonts w:ascii="Book Antiqua" w:eastAsia="Book Antiqua" w:hAnsi="Book Antiqua"/>
          <w:spacing w:val="40"/>
          <w:w w:val="105"/>
          <w:position w:val="2"/>
          <w:sz w:val="18"/>
        </w:rPr>
        <w:t xml:space="preserve"> </w:t>
      </w:r>
      <w:r>
        <w:rPr>
          <w:rFonts w:ascii="Bookman Old Style" w:eastAsia="Bookman Old Style" w:hAnsi="Bookman Old Style"/>
          <w:i/>
          <w:w w:val="105"/>
          <w:position w:val="2"/>
          <w:sz w:val="18"/>
        </w:rPr>
        <w:t>f</w:t>
      </w:r>
      <w:r>
        <w:rPr>
          <w:rFonts w:ascii="Bookman Old Style" w:eastAsia="Bookman Old Style" w:hAnsi="Bookman Old Style"/>
          <w:w w:val="105"/>
          <w:sz w:val="12"/>
        </w:rPr>
        <w:t>1</w:t>
      </w:r>
      <w:r>
        <w:rPr>
          <w:rFonts w:ascii="Book Antiqua" w:eastAsia="Book Antiqua" w:hAnsi="Book Antiqua"/>
          <w:w w:val="105"/>
          <w:position w:val="2"/>
          <w:sz w:val="18"/>
        </w:rPr>
        <w:t>(</w:t>
      </w:r>
      <w:r>
        <w:rPr>
          <w:rFonts w:ascii="Bookman Old Style" w:eastAsia="Bookman Old Style" w:hAnsi="Bookman Old Style"/>
          <w:i/>
          <w:w w:val="105"/>
          <w:position w:val="2"/>
          <w:sz w:val="18"/>
        </w:rPr>
        <w:t>t</w:t>
      </w:r>
      <w:r>
        <w:rPr>
          <w:rFonts w:ascii="Book Antiqua" w:eastAsia="Book Antiqua" w:hAnsi="Book Antiqua"/>
          <w:w w:val="105"/>
          <w:position w:val="2"/>
          <w:sz w:val="18"/>
        </w:rPr>
        <w:t>)</w:t>
      </w:r>
      <w:r>
        <w:rPr>
          <w:rFonts w:ascii="Book Antiqua" w:eastAsia="Book Antiqua" w:hAnsi="Book Antiqua"/>
          <w:spacing w:val="22"/>
          <w:w w:val="105"/>
          <w:position w:val="2"/>
          <w:sz w:val="18"/>
        </w:rPr>
        <w:t xml:space="preserve"> :=</w:t>
      </w:r>
      <w:r>
        <w:rPr>
          <w:rFonts w:ascii="Book Antiqua" w:eastAsia="Book Antiqua" w:hAnsi="Book Antiqua"/>
          <w:spacing w:val="68"/>
          <w:w w:val="105"/>
          <w:position w:val="2"/>
          <w:sz w:val="18"/>
        </w:rPr>
        <w:t xml:space="preserve"> </w:t>
      </w:r>
      <w:r>
        <w:rPr>
          <w:rFonts w:ascii="Bookman Old Style" w:eastAsia="Bookman Old Style" w:hAnsi="Bookman Old Style"/>
          <w:i/>
          <w:w w:val="105"/>
          <w:position w:val="2"/>
          <w:sz w:val="18"/>
        </w:rPr>
        <w:t>γ</w:t>
      </w:r>
      <w:r>
        <w:rPr>
          <w:rFonts w:ascii="Bookman Old Style" w:eastAsia="Bookman Old Style" w:hAnsi="Bookman Old Style"/>
          <w:i/>
          <w:spacing w:val="-16"/>
          <w:w w:val="105"/>
          <w:position w:val="2"/>
          <w:sz w:val="18"/>
        </w:rPr>
        <w:t xml:space="preserve"> </w:t>
      </w:r>
      <w:r>
        <w:rPr>
          <w:rFonts w:ascii="Book Antiqua" w:eastAsia="Book Antiqua" w:hAnsi="Book Antiqua"/>
          <w:w w:val="105"/>
          <w:position w:val="2"/>
          <w:sz w:val="18"/>
        </w:rPr>
        <w:t>exp</w:t>
      </w:r>
      <w:r>
        <w:rPr>
          <w:rFonts w:ascii="Book Antiqua" w:eastAsia="Book Antiqua" w:hAnsi="Book Antiqua"/>
          <w:spacing w:val="-9"/>
          <w:w w:val="105"/>
          <w:position w:val="2"/>
          <w:sz w:val="18"/>
        </w:rPr>
        <w:t xml:space="preserve"> (</w:t>
      </w:r>
      <w:r>
        <w:rPr>
          <w:rFonts w:ascii="Times New Roman" w:eastAsia="Times New Roman" w:hAnsi="Times New Roman"/>
          <w:i/>
          <w:w w:val="105"/>
          <w:position w:val="2"/>
          <w:sz w:val="18"/>
        </w:rPr>
        <w:t>−</w:t>
      </w:r>
      <w:proofErr w:type="spellStart"/>
      <w:r>
        <w:rPr>
          <w:rFonts w:ascii="Bookman Old Style" w:eastAsia="Bookman Old Style" w:hAnsi="Bookman Old Style"/>
          <w:i/>
          <w:w w:val="105"/>
          <w:position w:val="2"/>
          <w:sz w:val="18"/>
        </w:rPr>
        <w:t>γT</w:t>
      </w:r>
      <w:proofErr w:type="spellEnd"/>
      <w:r>
        <w:rPr>
          <w:rFonts w:ascii="Bookman Old Style" w:eastAsia="Bookman Old Style" w:hAnsi="Bookman Old Style"/>
          <w:i/>
          <w:spacing w:val="-32"/>
          <w:w w:val="105"/>
          <w:position w:val="2"/>
          <w:sz w:val="18"/>
        </w:rPr>
        <w:t xml:space="preserve"> </w:t>
      </w:r>
      <w:r>
        <w:rPr>
          <w:rFonts w:ascii="Book Antiqua" w:eastAsia="Book Antiqua" w:hAnsi="Book Antiqua"/>
          <w:w w:val="105"/>
          <w:position w:val="2"/>
          <w:sz w:val="18"/>
        </w:rPr>
        <w:t xml:space="preserve">), </w:t>
      </w:r>
      <w:r>
        <w:rPr>
          <w:rFonts w:ascii="Bookman Old Style" w:eastAsia="Bookman Old Style" w:hAnsi="Bookman Old Style"/>
          <w:i/>
          <w:w w:val="105"/>
          <w:position w:val="2"/>
          <w:sz w:val="18"/>
        </w:rPr>
        <w:t>f</w:t>
      </w:r>
      <w:r>
        <w:rPr>
          <w:rFonts w:ascii="Bookman Old Style" w:eastAsia="Bookman Old Style" w:hAnsi="Bookman Old Style"/>
          <w:w w:val="105"/>
          <w:sz w:val="12"/>
        </w:rPr>
        <w:t>2</w:t>
      </w:r>
      <w:r>
        <w:rPr>
          <w:rFonts w:ascii="Book Antiqua" w:eastAsia="Book Antiqua" w:hAnsi="Book Antiqua"/>
          <w:w w:val="105"/>
          <w:position w:val="2"/>
          <w:sz w:val="18"/>
        </w:rPr>
        <w:t>(</w:t>
      </w:r>
      <w:r>
        <w:rPr>
          <w:rFonts w:ascii="Bookman Old Style" w:eastAsia="Bookman Old Style" w:hAnsi="Bookman Old Style"/>
          <w:i/>
          <w:w w:val="105"/>
          <w:position w:val="2"/>
          <w:sz w:val="18"/>
        </w:rPr>
        <w:t>M</w:t>
      </w:r>
      <w:r>
        <w:rPr>
          <w:rFonts w:ascii="Bookman Old Style" w:eastAsia="Bookman Old Style" w:hAnsi="Bookman Old Style"/>
          <w:w w:val="105"/>
          <w:sz w:val="12"/>
        </w:rPr>
        <w:t>1</w:t>
      </w:r>
      <w:r>
        <w:rPr>
          <w:rFonts w:ascii="Bookman Old Style" w:eastAsia="Bookman Old Style" w:hAnsi="Bookman Old Style"/>
          <w:i/>
          <w:spacing w:val="-9"/>
          <w:w w:val="105"/>
          <w:position w:val="2"/>
          <w:sz w:val="18"/>
        </w:rPr>
        <w:t xml:space="preserve">, </w:t>
      </w:r>
      <w:r>
        <w:rPr>
          <w:rFonts w:ascii="Bookman Old Style" w:eastAsia="Bookman Old Style" w:hAnsi="Bookman Old Style"/>
          <w:i/>
          <w:w w:val="105"/>
          <w:position w:val="2"/>
          <w:sz w:val="18"/>
        </w:rPr>
        <w:t>T</w:t>
      </w:r>
      <w:r>
        <w:rPr>
          <w:rFonts w:ascii="Bookman Old Style" w:eastAsia="Bookman Old Style" w:hAnsi="Bookman Old Style"/>
          <w:i/>
          <w:w w:val="105"/>
          <w:sz w:val="12"/>
        </w:rPr>
        <w:t>reg</w:t>
      </w:r>
      <w:r>
        <w:rPr>
          <w:rFonts w:ascii="Bookman Old Style" w:eastAsia="Bookman Old Style" w:hAnsi="Bookman Old Style"/>
          <w:i/>
          <w:spacing w:val="-20"/>
          <w:w w:val="105"/>
          <w:sz w:val="12"/>
        </w:rPr>
        <w:t xml:space="preserve"> </w:t>
      </w:r>
      <w:r>
        <w:rPr>
          <w:rFonts w:ascii="Book Antiqua" w:eastAsia="Book Antiqua" w:hAnsi="Book Antiqua"/>
          <w:w w:val="105"/>
          <w:position w:val="2"/>
          <w:sz w:val="18"/>
        </w:rPr>
        <w:t xml:space="preserve">) := </w:t>
      </w:r>
      <w:r>
        <w:rPr>
          <w:rFonts w:ascii="Bookman Old Style" w:eastAsia="Bookman Old Style" w:hAnsi="Bookman Old Style"/>
          <w:i/>
          <w:w w:val="105"/>
          <w:position w:val="2"/>
          <w:sz w:val="18"/>
        </w:rPr>
        <w:t>M</w:t>
      </w:r>
      <w:r>
        <w:rPr>
          <w:rFonts w:ascii="Bookman Old Style" w:eastAsia="Bookman Old Style" w:hAnsi="Bookman Old Style"/>
          <w:w w:val="105"/>
          <w:sz w:val="12"/>
        </w:rPr>
        <w:t>1</w:t>
      </w:r>
      <w:r>
        <w:rPr>
          <w:rFonts w:ascii="Bookman Old Style" w:eastAsia="Bookman Old Style" w:hAnsi="Bookman Old Style"/>
          <w:i/>
          <w:w w:val="105"/>
          <w:position w:val="2"/>
          <w:sz w:val="18"/>
        </w:rPr>
        <w:t>T</w:t>
      </w:r>
      <w:r>
        <w:rPr>
          <w:rFonts w:ascii="Bookman Old Style" w:eastAsia="Bookman Old Style" w:hAnsi="Bookman Old Style"/>
          <w:i/>
          <w:w w:val="105"/>
          <w:sz w:val="12"/>
        </w:rPr>
        <w:t>reg</w:t>
      </w:r>
      <w:r>
        <w:rPr>
          <w:rFonts w:ascii="Bookman Old Style" w:eastAsia="Bookman Old Style" w:hAnsi="Bookman Old Style"/>
          <w:i/>
          <w:spacing w:val="-20"/>
          <w:w w:val="105"/>
          <w:sz w:val="12"/>
        </w:rPr>
        <w:t xml:space="preserve"> </w:t>
      </w:r>
      <w:r>
        <w:rPr>
          <w:rFonts w:ascii="Book Antiqua" w:eastAsia="Book Antiqua" w:hAnsi="Book Antiqua"/>
          <w:w w:val="105"/>
          <w:position w:val="2"/>
          <w:sz w:val="18"/>
        </w:rPr>
        <w:t>,and</w:t>
      </w:r>
      <w:r>
        <w:rPr>
          <w:rFonts w:ascii="Book Antiqua" w:eastAsia="Book Antiqua" w:hAnsi="Book Antiqua"/>
          <w:spacing w:val="33"/>
          <w:w w:val="105"/>
          <w:position w:val="2"/>
          <w:sz w:val="18"/>
        </w:rPr>
        <w:t xml:space="preserve"> </w:t>
      </w:r>
      <w:r>
        <w:rPr>
          <w:rFonts w:ascii="Book Antiqua" w:eastAsia="Book Antiqua" w:hAnsi="Book Antiqua"/>
          <w:w w:val="105"/>
          <w:position w:val="2"/>
          <w:sz w:val="18"/>
        </w:rPr>
        <w:t>parameters</w:t>
      </w:r>
      <w:r>
        <w:rPr>
          <w:rFonts w:ascii="Book Antiqua" w:eastAsia="Book Antiqua" w:hAnsi="Book Antiqua"/>
          <w:spacing w:val="33"/>
          <w:w w:val="105"/>
          <w:position w:val="2"/>
          <w:sz w:val="18"/>
        </w:rPr>
        <w:t xml:space="preserve"> </w:t>
      </w:r>
      <w:r>
        <w:rPr>
          <w:rFonts w:ascii="Book Antiqua" w:eastAsia="Book Antiqua" w:hAnsi="Book Antiqua"/>
          <w:w w:val="105"/>
          <w:position w:val="2"/>
          <w:sz w:val="18"/>
        </w:rPr>
        <w:t>are</w:t>
      </w:r>
      <w:r>
        <w:rPr>
          <w:rFonts w:ascii="Book Antiqua" w:eastAsia="Book Antiqua" w:hAnsi="Book Antiqua"/>
          <w:spacing w:val="33"/>
          <w:w w:val="105"/>
          <w:position w:val="2"/>
          <w:sz w:val="18"/>
        </w:rPr>
        <w:t xml:space="preserve"> </w:t>
      </w:r>
      <w:r>
        <w:rPr>
          <w:rFonts w:ascii="Bookman Old Style" w:eastAsia="Bookman Old Style" w:hAnsi="Bookman Old Style"/>
          <w:i/>
          <w:w w:val="105"/>
          <w:position w:val="2"/>
          <w:sz w:val="18"/>
        </w:rPr>
        <w:t xml:space="preserve">α </w:t>
      </w:r>
      <w:r>
        <w:rPr>
          <w:rFonts w:ascii="Book Antiqua" w:eastAsia="Book Antiqua" w:hAnsi="Book Antiqua"/>
          <w:spacing w:val="10"/>
          <w:w w:val="105"/>
          <w:position w:val="2"/>
          <w:sz w:val="18"/>
        </w:rPr>
        <w:t xml:space="preserve">=, </w:t>
      </w:r>
      <w:r>
        <w:rPr>
          <w:rFonts w:ascii="Bookman Old Style" w:eastAsia="Bookman Old Style" w:hAnsi="Bookman Old Style"/>
          <w:i/>
          <w:w w:val="105"/>
          <w:position w:val="2"/>
          <w:sz w:val="18"/>
        </w:rPr>
        <w:t xml:space="preserve">β </w:t>
      </w:r>
      <w:r>
        <w:rPr>
          <w:rFonts w:ascii="Book Antiqua" w:eastAsia="Book Antiqua" w:hAnsi="Book Antiqua"/>
          <w:w w:val="105"/>
          <w:position w:val="2"/>
          <w:sz w:val="18"/>
        </w:rPr>
        <w:t>= 0</w:t>
      </w:r>
      <w:r>
        <w:rPr>
          <w:rFonts w:ascii="Bookman Old Style" w:eastAsia="Bookman Old Style" w:hAnsi="Bookman Old Style"/>
          <w:i/>
          <w:w w:val="105"/>
          <w:position w:val="2"/>
          <w:sz w:val="18"/>
        </w:rPr>
        <w:t>.</w:t>
      </w:r>
      <w:r>
        <w:rPr>
          <w:rFonts w:ascii="Book Antiqua" w:eastAsia="Book Antiqua" w:hAnsi="Book Antiqua"/>
          <w:w w:val="105"/>
          <w:position w:val="2"/>
          <w:sz w:val="18"/>
        </w:rPr>
        <w:t>1</w:t>
      </w:r>
      <w:r>
        <w:rPr>
          <w:rFonts w:ascii="Book Antiqua" w:eastAsia="Book Antiqua" w:hAnsi="Book Antiqua"/>
          <w:spacing w:val="33"/>
          <w:w w:val="105"/>
          <w:position w:val="2"/>
          <w:sz w:val="18"/>
        </w:rPr>
        <w:t xml:space="preserve"> </w:t>
      </w:r>
      <w:r>
        <w:rPr>
          <w:rFonts w:ascii="Book Antiqua" w:eastAsia="Book Antiqua" w:hAnsi="Book Antiqua"/>
          <w:w w:val="105"/>
          <w:position w:val="2"/>
          <w:sz w:val="18"/>
        </w:rPr>
        <w:t>and</w:t>
      </w:r>
      <w:r>
        <w:rPr>
          <w:rFonts w:ascii="Book Antiqua" w:eastAsia="Book Antiqua" w:hAnsi="Book Antiqua"/>
          <w:spacing w:val="33"/>
          <w:w w:val="105"/>
          <w:position w:val="2"/>
          <w:sz w:val="18"/>
        </w:rPr>
        <w:t xml:space="preserve"> </w:t>
      </w:r>
      <w:r>
        <w:rPr>
          <w:rFonts w:ascii="Bookman Old Style" w:eastAsia="Bookman Old Style" w:hAnsi="Bookman Old Style"/>
          <w:i/>
          <w:w w:val="105"/>
          <w:position w:val="2"/>
          <w:sz w:val="18"/>
        </w:rPr>
        <w:t xml:space="preserve">γ </w:t>
      </w:r>
      <w:r>
        <w:rPr>
          <w:rFonts w:ascii="Book Antiqua" w:eastAsia="Book Antiqua" w:hAnsi="Book Antiqua"/>
          <w:w w:val="105"/>
          <w:position w:val="2"/>
          <w:sz w:val="18"/>
        </w:rPr>
        <w:t>= 20</w:t>
      </w:r>
      <w:r>
        <w:rPr>
          <w:rFonts w:ascii="Bookman Old Style" w:eastAsia="Bookman Old Style" w:hAnsi="Bookman Old Style"/>
          <w:i/>
          <w:w w:val="105"/>
          <w:position w:val="2"/>
          <w:sz w:val="18"/>
        </w:rPr>
        <w:t>.</w:t>
      </w:r>
      <w:r>
        <w:rPr>
          <w:rFonts w:ascii="Book Antiqua" w:eastAsia="Book Antiqua" w:hAnsi="Book Antiqua"/>
          <w:w w:val="105"/>
          <w:position w:val="2"/>
          <w:sz w:val="18"/>
        </w:rPr>
        <w:t>0.</w:t>
      </w:r>
    </w:p>
    <w:p w:rsidR="004B6585" w:rsidRPr="00D639D0" w:rsidRDefault="004B6585" w:rsidP="00FF14A9">
      <w:pPr>
        <w:spacing w:line="278" w:lineRule="auto"/>
        <w:ind w:right="393"/>
        <w:rPr>
          <w:rFonts w:ascii="Book Antiqua" w:eastAsia="Book Antiqua" w:hAnsi="Book Antiqua"/>
          <w:sz w:val="18"/>
        </w:rPr>
      </w:pPr>
    </w:p>
    <w:sectPr w:rsidR="004B6585" w:rsidRPr="00D639D0">
      <w:pgSz w:w="11910" w:h="16840"/>
      <w:pgMar w:top="1920" w:right="1320" w:bottom="1480" w:left="1320" w:header="0" w:footer="12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2640F" w:rsidRDefault="0042640F">
      <w:r>
        <w:separator/>
      </w:r>
    </w:p>
  </w:endnote>
  <w:endnote w:type="continuationSeparator" w:id="0">
    <w:p w:rsidR="0042640F" w:rsidRDefault="00426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uhaus 93">
    <w:altName w:val="Bauhaus 93"/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B6585" w:rsidRDefault="0042640F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514112" behindDoc="1" locked="0" layoutInCell="1" allowOverlap="1">
              <wp:simplePos x="0" y="0"/>
              <wp:positionH relativeFrom="page">
                <wp:posOffset>3710266</wp:posOffset>
              </wp:positionH>
              <wp:positionV relativeFrom="page">
                <wp:posOffset>9736494</wp:posOffset>
              </wp:positionV>
              <wp:extent cx="152400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B6585" w:rsidRDefault="0042640F">
                          <w:pPr>
                            <w:pStyle w:val="a3"/>
                            <w:spacing w:line="213" w:lineRule="exact"/>
                            <w:ind w:left="60"/>
                          </w:pPr>
                          <w:r>
                            <w:rPr>
                              <w:w w:val="115"/>
                            </w:rPr>
                            <w:fldChar w:fldCharType="begin"/>
                          </w:r>
                          <w:r>
                            <w:rPr>
                              <w:w w:val="115"/>
                            </w:rPr>
                            <w:instrText xml:space="preserve"> PAGE </w:instrText>
                          </w:r>
                          <w:r>
                            <w:rPr>
                              <w:w w:val="115"/>
                            </w:rPr>
                            <w:fldChar w:fldCharType="separate"/>
                          </w:r>
                          <w:r>
                            <w:rPr>
                              <w:w w:val="115"/>
                            </w:rPr>
                            <w:t>1</w:t>
                          </w:r>
                          <w:r>
                            <w:rPr>
                              <w:w w:val="1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2.15pt;margin-top:766.65pt;width:12pt;height:12pt;z-index:-1580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" filled="f" stroked="f">
              <v:textbox inset="0,0,0,0">
                <w:txbxContent>
                  <w:p w:rsidR="004B6585" w:rsidRDefault="0042640F">
                    <w:pPr>
                      <w:pStyle w:val="a3"/>
                      <w:spacing w:line="213" w:lineRule="exact"/>
                      <w:ind w:left="60"/>
                    </w:pPr>
                    <w:r>
                      <w:rPr>
                        <w:w w:val="115"/>
                      </w:rPr>
                      <w:fldChar w:fldCharType="begin"/>
                    </w:r>
                    <w:r>
                      <w:rPr>
                        <w:w w:val="115"/>
                      </w:rPr>
                      <w:instrText xml:space="preserve"> PAGE </w:instrText>
                    </w:r>
                    <w:r>
                      <w:rPr>
                        <w:w w:val="115"/>
                      </w:rPr>
                      <w:fldChar w:fldCharType="separate"/>
                    </w:r>
                    <w:r>
                      <w:rPr>
                        <w:w w:val="115"/>
                      </w:rPr>
                      <w:t>1</w:t>
                    </w:r>
                    <w:r>
                      <w:rPr>
                        <w:w w:val="1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2640F" w:rsidRDefault="0042640F">
      <w:r>
        <w:separator/>
      </w:r>
    </w:p>
  </w:footnote>
  <w:footnote w:type="continuationSeparator" w:id="0">
    <w:p w:rsidR="0042640F" w:rsidRDefault="004264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6585"/>
    <w:rsid w:val="000653DA"/>
    <w:rsid w:val="00187320"/>
    <w:rsid w:val="0034034B"/>
    <w:rsid w:val="0042640F"/>
    <w:rsid w:val="004B6585"/>
    <w:rsid w:val="00573F47"/>
    <w:rsid w:val="00C41646"/>
    <w:rsid w:val="00D639D0"/>
    <w:rsid w:val="00FF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FD9156C"/>
  <w15:docId w15:val="{19F72A94-BAEA-48A9-9886-7E1A9CD83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4A9"/>
    <w:rPr>
      <w:rFonts w:ascii="Georgia" w:eastAsia="Georgia" w:hAnsi="Georgia" w:cs="Georg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573F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木下修一</cp:lastModifiedBy>
  <cp:revision>6</cp:revision>
  <dcterms:created xsi:type="dcterms:W3CDTF">2023-09-23T07:23:00Z</dcterms:created>
  <dcterms:modified xsi:type="dcterms:W3CDTF">2023-09-23T08:04:00Z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2023-09-23T00:00:00Z</vt:filetime>
  </property>
  <property fmtid="{D5CDD505-2E9C-101B-9397-08002B2CF9AE}" pid="3" name="Creator">
    <vt:lpwstr> TeX output 2023.09.23:1546</vt:lpwstr>
  </property>
  <property fmtid="{D5CDD505-2E9C-101B-9397-08002B2CF9AE}" pid="4" name="Producer">
    <vt:lpwstr>dvipdfmx (20190824)</vt:lpwstr>
  </property>
  <property fmtid="{D5CDD505-2E9C-101B-9397-08002B2CF9AE}" pid="5" name="LastSaved">
    <vt:filetime>2023-09-23T00:00:00Z</vt:filetime>
  </property>
</Properties>
</file>