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При взаимодействии с дверью:</w:t>
        <w:br w:type="textWrapping"/>
        <w:br w:type="textWrapping"/>
      </w:r>
      <w:r w:rsidDel="00000000" w:rsidR="00000000" w:rsidRPr="00000000">
        <w:rPr>
          <w:i w:val="1"/>
          <w:iCs w:val="1"/>
          <w:rtl w:val="0"/>
        </w:rPr>
        <w:t xml:space="preserve">“Кто бы мог подумать,что дверь чужого дома в чужом города окажется закрытой”</w:t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При взаимодействии с окном:</w:t>
        <w:br w:type="textWrapping"/>
        <w:br w:type="textWrapping"/>
      </w:r>
      <w:r w:rsidDel="00000000" w:rsidR="00000000" w:rsidRPr="00000000">
        <w:rPr>
          <w:i w:val="1"/>
          <w:iCs w:val="1"/>
          <w:rtl w:val="0"/>
        </w:rPr>
        <w:t xml:space="preserve">“О боже…. Там столько ПИВА…”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