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FC8A0">
      <w:pPr>
        <w:spacing w:before="1480" w:after="280"/>
      </w:pPr>
      <w:r>
        <w:rPr>
          <w:rFonts w:ascii="Hiragino Sans GB" w:hAnsi="Hiragino Sans GB" w:eastAsia="Hiragino Sans GB"/>
          <w:b/>
          <w:color w:val="315CA9"/>
          <w:sz w:val="20"/>
        </w:rPr>
        <w:t>PRODUCT GUIDE</w:t>
      </w:r>
    </w:p>
    <w:p w14:paraId="5BAB52FA">
      <w:pPr>
        <w:spacing w:after="160"/>
      </w:pPr>
      <w:r>
        <w:rPr>
          <w:rFonts w:ascii="Hiragino Sans GB" w:hAnsi="Hiragino Sans GB" w:eastAsia="Hiragino Sans GB"/>
          <w:b/>
          <w:color w:val="203A61"/>
          <w:sz w:val="58"/>
        </w:rPr>
        <w:t>华小安审计标注系统</w:t>
      </w:r>
      <w:r>
        <w:rPr>
          <w:rFonts w:ascii="Hiragino Sans GB" w:hAnsi="Hiragino Sans GB" w:eastAsia="Hiragino Sans GB"/>
          <w:b/>
          <w:color w:val="203A61"/>
          <w:sz w:val="58"/>
        </w:rPr>
        <w:br w:type="textWrapping"/>
      </w:r>
      <w:r>
        <w:rPr>
          <w:rFonts w:ascii="Hiragino Sans GB" w:hAnsi="Hiragino Sans GB" w:eastAsia="Hiragino Sans GB"/>
          <w:b/>
          <w:color w:val="203A61"/>
          <w:sz w:val="58"/>
        </w:rPr>
        <w:t>产品说明书</w:t>
      </w:r>
    </w:p>
    <w:p w14:paraId="30C278EF">
      <w:pPr>
        <w:spacing w:after="440"/>
      </w:pPr>
      <w:r>
        <w:rPr>
          <w:rFonts w:ascii="Hiragino Sans GB" w:hAnsi="Hiragino Sans GB" w:eastAsia="Hiragino Sans GB"/>
          <w:color w:val="718097"/>
          <w:sz w:val="28"/>
        </w:rPr>
        <w:t>页面作用 · 使用步骤 · 交互逻辑 · 数据承接</w:t>
      </w:r>
    </w:p>
    <w:p w14:paraId="4D2663B9">
      <w:pPr>
        <w:spacing w:before="80" w:after="60"/>
        <w:jc w:val="center"/>
      </w:pPr>
      <w:r>
        <w:drawing>
          <wp:inline distT="0" distB="0" distL="114300" distR="114300">
            <wp:extent cx="5989320" cy="1962785"/>
            <wp:effectExtent l="0" t="0" r="5080" b="18415"/>
            <wp:docPr id="1" name="Picture 1" descr="产品闭环：从标签资产到报告签发与知识回流" title="产品闭环：从标签资产到报告签发与知识回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产品闭环：从标签资产到报告签发与知识回流" title="产品闭环：从标签资产到报告签发与知识回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6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E07E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产品闭环：从标签资产到报告签发与知识回流</w:t>
      </w:r>
    </w:p>
    <w:p w14:paraId="20F1A55C">
      <w:pPr>
        <w:spacing w:before="400" w:after="0"/>
      </w:pPr>
      <w:r>
        <w:rPr>
          <w:rFonts w:ascii="Hiragino Sans GB" w:hAnsi="Hiragino Sans GB" w:eastAsia="Hiragino Sans GB"/>
          <w:color w:val="718097"/>
          <w:sz w:val="19"/>
        </w:rPr>
        <w:t>版本 V1.0   |   2026-08-12   |   适用范围：审计项目负责人、执</w:t>
      </w:r>
      <w:bookmarkStart w:id="0" w:name="_GoBack"/>
      <w:bookmarkEnd w:id="0"/>
      <w:r>
        <w:rPr>
          <w:rFonts w:ascii="Hiragino Sans GB" w:hAnsi="Hiragino Sans GB" w:eastAsia="Hiragino Sans GB"/>
          <w:color w:val="718097"/>
          <w:sz w:val="19"/>
        </w:rPr>
        <w:t>行人员、复核人员、产品与研发团队</w:t>
      </w:r>
    </w:p>
    <w:p w14:paraId="5D065E38">
      <w:r>
        <w:br w:type="page"/>
      </w:r>
    </w:p>
    <w:p w14:paraId="23B2E32A">
      <w:pPr>
        <w:spacing w:before="0" w:after="40"/>
      </w:pPr>
      <w:r>
        <w:rPr>
          <w:rFonts w:ascii="Hiragino Sans GB" w:hAnsi="Hiragino Sans GB" w:eastAsia="Hiragino Sans GB"/>
          <w:b/>
          <w:color w:val="315CA9"/>
          <w:sz w:val="19"/>
        </w:rPr>
        <w:t>00</w:t>
      </w:r>
    </w:p>
    <w:p w14:paraId="0D82836C">
      <w:pPr>
        <w:pStyle w:val="3"/>
        <w:spacing w:before="0"/>
      </w:pPr>
      <w:r>
        <w:t>如何阅读本说明书</w:t>
      </w:r>
    </w:p>
    <w:p w14:paraId="68B23111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本说明书以页面为最小单元，解释页面为什么存在、怎么使用以及完成后流向哪里。</w:t>
      </w:r>
    </w:p>
    <w:p w14:paraId="5B1FFA47">
      <w:pPr>
        <w:pStyle w:val="4"/>
      </w:pPr>
      <w:r>
        <w:t>产品边界</w:t>
      </w:r>
    </w:p>
    <w:p w14:paraId="73934890">
      <w:pPr>
        <w:spacing w:after="12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审计标注系统负责把公共审计标签转为项目知识图谱和可执行任务；后续审计流程负责承接已确认结论，形成底稿、错报与合规汇总、TB 调整、完成程序和最终签发归档。两者数据连续，但功能独立。</w:t>
      </w:r>
    </w:p>
    <w:p w14:paraId="34671C0A">
      <w:pPr>
        <w:pStyle w:val="4"/>
      </w:pPr>
      <w:r>
        <w:t>角色分工</w:t>
      </w:r>
    </w:p>
    <w:p w14:paraId="08BA78C4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项目负责人：确认重要性、候选标签、负责人分配和最终移交，并负责后续审计复核。</w:t>
      </w:r>
    </w:p>
    <w:p w14:paraId="475C02A4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标签负责人／编制人：处理分配给自己的标签任务或底稿事项，补充证据并提交结论。</w:t>
      </w:r>
    </w:p>
    <w:p w14:paraId="1E6C1643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复核人：当前项目中统一为符金雨；在后续审计中复核编制结果与流程完成状态。</w:t>
      </w:r>
    </w:p>
    <w:p w14:paraId="2A83000F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方法维护人员：维护公共标签资产、版本、执行方式和适用范围。</w:t>
      </w:r>
    </w:p>
    <w:p w14:paraId="2CD2C0FD">
      <w:pPr>
        <w:pStyle w:val="4"/>
      </w:pPr>
      <w:r>
        <w:t>页面总览</w:t>
      </w:r>
    </w:p>
    <w:tbl>
      <w:tblPr>
        <w:tblStyle w:val="34"/>
        <w:tblW w:w="9360" w:type="dxa"/>
        <w:tblInd w:w="1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3350"/>
        <w:gridCol w:w="4560"/>
      </w:tblGrid>
      <w:tr w14:paraId="2366F285">
        <w:trPr>
          <w:tblHeader/>
        </w:trPr>
        <w:tc>
          <w:tcPr>
            <w:tcW w:w="1450" w:type="dxa"/>
            <w:shd w:val="clear" w:color="auto" w:fill="203A6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560F5F5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产品层</w:t>
            </w:r>
          </w:p>
        </w:tc>
        <w:tc>
          <w:tcPr>
            <w:tcW w:w="3350" w:type="dxa"/>
            <w:shd w:val="clear" w:color="auto" w:fill="203A6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B4D711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核心页面</w:t>
            </w:r>
          </w:p>
        </w:tc>
        <w:tc>
          <w:tcPr>
            <w:tcW w:w="4560" w:type="dxa"/>
            <w:shd w:val="clear" w:color="auto" w:fill="203A6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270B2A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解决的问题</w:t>
            </w:r>
          </w:p>
        </w:tc>
      </w:tr>
      <w:tr w14:paraId="109E24E4">
        <w:tc>
          <w:tcPr>
            <w:tcW w:w="145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2EC819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标签资产层</w:t>
            </w:r>
          </w:p>
        </w:tc>
        <w:tc>
          <w:tcPr>
            <w:tcW w:w="335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979A108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公共标签资产、项目准备、候选标签集</w:t>
            </w:r>
          </w:p>
        </w:tc>
        <w:tc>
          <w:tcPr>
            <w:tcW w:w="45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4FF9266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让标准方法可复用，并把全所标签收敛为项目范围。</w:t>
            </w:r>
          </w:p>
        </w:tc>
      </w:tr>
      <w:tr w14:paraId="6FBA441D">
        <w:tc>
          <w:tcPr>
            <w:tcW w:w="145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DBAAFF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项目执行层</w:t>
            </w:r>
          </w:p>
        </w:tc>
        <w:tc>
          <w:tcPr>
            <w:tcW w:w="335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43C554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项目知识图谱、负责人审核工作台</w:t>
            </w:r>
          </w:p>
        </w:tc>
        <w:tc>
          <w:tcPr>
            <w:tcW w:w="456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25B070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建立节点关系、落实责任人、处理异常与人工结论。</w:t>
            </w:r>
          </w:p>
        </w:tc>
      </w:tr>
      <w:tr w14:paraId="580668A2">
        <w:tc>
          <w:tcPr>
            <w:tcW w:w="145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EDB407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后续审计层</w:t>
            </w:r>
          </w:p>
        </w:tc>
        <w:tc>
          <w:tcPr>
            <w:tcW w:w="335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06E3DDD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底稿、错报、合规、TB、完成程序、报告签发归档</w:t>
            </w:r>
          </w:p>
        </w:tc>
        <w:tc>
          <w:tcPr>
            <w:tcW w:w="45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0F93C37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把图谱结论转为正式底稿、报表调整和审计报告。</w:t>
            </w:r>
          </w:p>
        </w:tc>
      </w:tr>
      <w:tr w14:paraId="6484F99E">
        <w:tc>
          <w:tcPr>
            <w:tcW w:w="145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007830B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管理监控层</w:t>
            </w:r>
          </w:p>
        </w:tc>
        <w:tc>
          <w:tcPr>
            <w:tcW w:w="335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4EBA5B6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标签审核系统、后续审计流程监控</w:t>
            </w:r>
          </w:p>
        </w:tc>
        <w:tc>
          <w:tcPr>
            <w:tcW w:w="456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C1AABB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按项目、负责人和步骤查看进度，不替代具体执行页面。</w:t>
            </w:r>
          </w:p>
        </w:tc>
      </w:tr>
    </w:tbl>
    <w:p w14:paraId="490EDCE0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核心数据规则  </w:t>
      </w:r>
      <w:r>
        <w:rPr>
          <w:rFonts w:ascii="Hiragino Sans GB" w:hAnsi="Hiragino Sans GB" w:eastAsia="Hiragino Sans GB"/>
          <w:color w:val="34465F"/>
          <w:sz w:val="19"/>
        </w:rPr>
        <w:t>知识图谱负责人自动成为对应底稿的编制人；复核人统一为当前项目负责人；审核工作台锁定的标签结论是后续审计流程的数据起点。</w:t>
      </w:r>
    </w:p>
    <w:p w14:paraId="47DB1191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496AD48B">
      <w:r>
        <w:rPr>
          <w:rFonts w:ascii="Hiragino Sans GB" w:hAnsi="Hiragino Sans GB" w:eastAsia="Hiragino Sans GB"/>
          <w:b/>
          <w:color w:val="315CA9"/>
          <w:sz w:val="19"/>
        </w:rPr>
        <w:t>01</w:t>
      </w:r>
    </w:p>
    <w:p w14:paraId="68260DF0">
      <w:pPr>
        <w:pStyle w:val="3"/>
        <w:spacing w:before="0"/>
      </w:pPr>
      <w:r>
        <w:t>公共标签资产</w:t>
      </w:r>
    </w:p>
    <w:p w14:paraId="12254403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全所统一维护的审计方法与标签库。</w:t>
      </w:r>
    </w:p>
    <w:p w14:paraId="50B7F193">
      <w:pPr>
        <w:spacing w:before="80" w:after="60"/>
        <w:jc w:val="center"/>
      </w:pPr>
      <w:r>
        <w:drawing>
          <wp:inline distT="0" distB="0" distL="114300" distR="114300">
            <wp:extent cx="4434840" cy="3549015"/>
            <wp:effectExtent l="0" t="0" r="10160" b="6985"/>
            <wp:docPr id="2" name="Picture 2" descr="图 01  公共标签资产" title="图 01  公共标签资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01  公共标签资产" title="图 01  公共标签资产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5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5AB8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01  公共标签资产</w:t>
      </w:r>
    </w:p>
    <w:p w14:paraId="702A83D1">
      <w:pPr>
        <w:pStyle w:val="4"/>
        <w:spacing w:before="100" w:after="40"/>
      </w:pPr>
      <w:r>
        <w:t>页面作用</w:t>
      </w:r>
    </w:p>
    <w:p w14:paraId="6648DBFA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集中管理风险信号、内控测试、审计程序、合规检查等标签，保留版本、维护负责人、执行方式和被项目引用情况。公共标签资产不是具体项目任务，只有进入项目候选集后才建立上下游关系。</w:t>
      </w:r>
    </w:p>
    <w:p w14:paraId="6EF5CDFB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知识图谱 → 左侧“公共标签资产” → 选择列表视图或图谱视图。</w:t>
      </w:r>
    </w:p>
    <w:p w14:paraId="26B128E2">
      <w:pPr>
        <w:pStyle w:val="4"/>
        <w:spacing w:before="100" w:after="40"/>
      </w:pPr>
      <w:r>
        <w:t>使用步骤</w:t>
      </w:r>
    </w:p>
    <w:p w14:paraId="711A4A15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通过搜索或类型筛选定位标签。</w:t>
      </w:r>
    </w:p>
    <w:p w14:paraId="01241FB4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在列表中勾选标签，或点击标签查看详情。</w:t>
      </w:r>
    </w:p>
    <w:p w14:paraId="30EC38AE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核对标签说明、版本、执行方式和适用范围。</w:t>
      </w:r>
    </w:p>
    <w:p w14:paraId="7C5F2A84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将适用标签加入当前项目候选集。</w:t>
      </w:r>
    </w:p>
    <w:p w14:paraId="1D567FFB">
      <w:pPr>
        <w:pStyle w:val="4"/>
        <w:spacing w:before="100" w:after="40"/>
      </w:pPr>
      <w:r>
        <w:t>交互逻辑</w:t>
      </w:r>
    </w:p>
    <w:p w14:paraId="68F23BC5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列表与图谱使用同一套标签数据和详情样式。</w:t>
      </w:r>
    </w:p>
    <w:p w14:paraId="7DF7E4B5">
      <w:pPr>
        <w:pStyle w:val="16"/>
      </w:pPr>
      <w:r>
        <w:rPr>
          <w:rFonts w:hint="eastAsia"/>
          <w:color w:val="34465F"/>
          <w:sz w:val="20"/>
          <w:lang w:val="en-US" w:eastAsia="zh-CN"/>
        </w:rPr>
        <w:t>一个审计项目建立并且确认重要性参数后，</w:t>
      </w:r>
      <w:r>
        <w:rPr>
          <w:rFonts w:ascii="Hiragino Sans GB" w:hAnsi="Hiragino Sans GB" w:eastAsia="Hiragino Sans GB"/>
          <w:color w:val="34465F"/>
          <w:sz w:val="20"/>
        </w:rPr>
        <w:t>勾选用于批量加入候选集；点击行或节点用于查看信息。</w:t>
      </w:r>
    </w:p>
    <w:p w14:paraId="017EC282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标签在未进入具体项目时不显示项目负责人或 DAG 上下游关系。</w:t>
      </w:r>
    </w:p>
    <w:p w14:paraId="47B1BD5B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选中的公共标签进入项目候选标签集，等待项目负责人结合 Scope 进行保留、调整或排除。</w:t>
      </w:r>
    </w:p>
    <w:p w14:paraId="35EE412D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0844D7CB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5BEA56E3">
      <w:r>
        <w:rPr>
          <w:rFonts w:ascii="Hiragino Sans GB" w:hAnsi="Hiragino Sans GB" w:eastAsia="Hiragino Sans GB"/>
          <w:b/>
          <w:color w:val="315CA9"/>
          <w:sz w:val="19"/>
        </w:rPr>
        <w:t>02</w:t>
      </w:r>
    </w:p>
    <w:p w14:paraId="54C6D1B6">
      <w:pPr>
        <w:pStyle w:val="3"/>
        <w:spacing w:before="0"/>
      </w:pPr>
      <w:r>
        <w:t>项目准备与重要性确认</w:t>
      </w:r>
    </w:p>
    <w:p w14:paraId="35EE3447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创建项目、补齐资料并锁定三项重要性指标。</w:t>
      </w:r>
    </w:p>
    <w:p w14:paraId="7EF9A8BE">
      <w:pPr>
        <w:spacing w:before="80" w:after="60"/>
        <w:jc w:val="center"/>
      </w:pPr>
      <w:r>
        <w:drawing>
          <wp:inline distT="0" distB="0" distL="114300" distR="114300">
            <wp:extent cx="4434840" cy="3549015"/>
            <wp:effectExtent l="0" t="0" r="10160" b="6985"/>
            <wp:docPr id="3" name="Picture 3" descr="图 02  项目准备与重要性确认" title="图 02  项目准备与重要性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02  项目准备与重要性确认" title="图 02  项目准备与重要性确认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5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FD16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02  项目准备与重要性确认</w:t>
      </w:r>
    </w:p>
    <w:p w14:paraId="44F354D1">
      <w:pPr>
        <w:pStyle w:val="4"/>
        <w:spacing w:before="100" w:after="40"/>
      </w:pPr>
      <w:r>
        <w:t>页面作用</w:t>
      </w:r>
    </w:p>
    <w:p w14:paraId="0D8B7344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定义审计项目边界，为候选标签生成和后续错报判断提供统一参数。重要性确认是启动候选标签审核和 DAG 的前置条件。</w:t>
      </w:r>
    </w:p>
    <w:p w14:paraId="2C6F086B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知识图谱 → 新建审计项目 → 填写项目基本信息与上传资料 → 重要性参数确认。</w:t>
      </w:r>
    </w:p>
    <w:p w14:paraId="539D2FBC">
      <w:pPr>
        <w:pStyle w:val="4"/>
        <w:spacing w:before="100" w:after="40"/>
      </w:pPr>
      <w:r>
        <w:t>使用步骤</w:t>
      </w:r>
    </w:p>
    <w:p w14:paraId="53AC9B6D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填写项目名称、客户、期间等基础信息。</w:t>
      </w:r>
    </w:p>
    <w:p w14:paraId="4DCC38AE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上传财务数据和客户资料。</w:t>
      </w:r>
    </w:p>
    <w:p w14:paraId="000DEBDF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确认整体重要性、实际执行重要性和明显微小错报临界值。</w:t>
      </w:r>
    </w:p>
    <w:p w14:paraId="10129AD8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提交后由 Scope 规则生成候选标签集。</w:t>
      </w:r>
    </w:p>
    <w:p w14:paraId="3BCA7B44">
      <w:pPr>
        <w:pStyle w:val="4"/>
        <w:spacing w:before="100" w:after="40"/>
      </w:pPr>
      <w:r>
        <w:t>交互逻辑</w:t>
      </w:r>
    </w:p>
    <w:p w14:paraId="37008613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未确认重要性时，候选审核和 DAG 启动保持锁定。</w:t>
      </w:r>
    </w:p>
    <w:p w14:paraId="4A29FD98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三项指标被后续错报汇总直接引用，界面展示具体金额而不是解释性文本。</w:t>
      </w:r>
    </w:p>
    <w:p w14:paraId="6DF566A3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参数调整会记录在项目版本中，并影响风险判断阈值。</w:t>
      </w:r>
    </w:p>
    <w:p w14:paraId="24F15D7E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形成已锁定的项目 Scope 与重要性参数，系统据此生成候选标签集。</w:t>
      </w:r>
    </w:p>
    <w:p w14:paraId="0B3E09DA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46AC2E3F">
      <w:r>
        <w:rPr>
          <w:rFonts w:ascii="Hiragino Sans GB" w:hAnsi="Hiragino Sans GB" w:eastAsia="Hiragino Sans GB"/>
          <w:b/>
          <w:color w:val="315CA9"/>
          <w:sz w:val="19"/>
        </w:rPr>
        <w:t>03</w:t>
      </w:r>
    </w:p>
    <w:p w14:paraId="667AD194">
      <w:pPr>
        <w:pStyle w:val="3"/>
        <w:spacing w:before="0"/>
      </w:pPr>
      <w:r>
        <w:t>候选标签集审核</w:t>
      </w:r>
    </w:p>
    <w:p w14:paraId="0F19E74B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把 Scope 生成的候选标签收敛为项目实际需要的标签。</w:t>
      </w:r>
    </w:p>
    <w:p w14:paraId="3D4B25E6">
      <w:pPr>
        <w:spacing w:before="80" w:after="60"/>
        <w:jc w:val="center"/>
      </w:pPr>
      <w:r>
        <w:drawing>
          <wp:inline distT="0" distB="0" distL="114300" distR="114300">
            <wp:extent cx="4434840" cy="3549015"/>
            <wp:effectExtent l="0" t="0" r="10160" b="6985"/>
            <wp:docPr id="4" name="Picture 4" descr="图 03  候选标签集审核" title="图 03  候选标签集审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03  候选标签集审核" title="图 03  候选标签集审核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5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A0E3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03  候选标签集审核</w:t>
      </w:r>
    </w:p>
    <w:p w14:paraId="648B2BA7">
      <w:pPr>
        <w:pStyle w:val="4"/>
        <w:spacing w:before="100" w:after="40"/>
      </w:pPr>
      <w:r>
        <w:t>页面作用</w:t>
      </w:r>
    </w:p>
    <w:p w14:paraId="5B9F4DD1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由项目负责人逐项确认候选标签是否进入项目，并可补充全所标签池中的其他标签。候选标签默认纳入，只有在业务判断需要时才调整或排除。</w:t>
      </w:r>
    </w:p>
    <w:p w14:paraId="72B9B829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选择处于“候选集”阶段的审计项目 → 列表视图。</w:t>
      </w:r>
    </w:p>
    <w:p w14:paraId="034A7D98">
      <w:pPr>
        <w:pStyle w:val="4"/>
        <w:spacing w:before="100" w:after="40"/>
      </w:pPr>
      <w:r>
        <w:t>使用步骤</w:t>
      </w:r>
    </w:p>
    <w:p w14:paraId="1674D4D5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按编号、名称、类型或状态筛选候选标签。</w:t>
      </w:r>
    </w:p>
    <w:p w14:paraId="49CC029E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勾选需要批量处理的标签，或点击标签打开详情。</w:t>
      </w:r>
    </w:p>
    <w:p w14:paraId="2D0D1227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在详情中查看推荐理由、风险等级、阈值与复核要求。</w:t>
      </w:r>
    </w:p>
    <w:p w14:paraId="691DDF80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选择保留、调整或排除；完成后冻结候选集并启动 DAG。</w:t>
      </w:r>
    </w:p>
    <w:p w14:paraId="5016A95D">
      <w:pPr>
        <w:pStyle w:val="4"/>
        <w:spacing w:before="100" w:after="40"/>
      </w:pPr>
      <w:r>
        <w:t>交互逻辑</w:t>
      </w:r>
    </w:p>
    <w:p w14:paraId="3F508E3B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勾选与点击互不冲突：勾选用于批量操作，点击用于查看。</w:t>
      </w:r>
    </w:p>
    <w:p w14:paraId="15490876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调整在当前详情中完成，不跳转到额外页面。</w:t>
      </w:r>
    </w:p>
    <w:p w14:paraId="7462E12E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冻结后建立项目节点与关系，候选集状态不可静默变化。</w:t>
      </w:r>
    </w:p>
    <w:p w14:paraId="76444D22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形成冻结的项目标签集合，并进入项目知识图谱与负责人分配阶段。</w:t>
      </w:r>
    </w:p>
    <w:p w14:paraId="1733C509">
      <w:pPr>
        <w:spacing w:before="0" w:after="40"/>
        <w:rPr>
          <w:rFonts w:ascii="Hiragino Sans GB" w:hAnsi="Hiragino Sans GB" w:eastAsia="Hiragino Sans GB"/>
          <w:b/>
          <w:color w:val="315CA9"/>
          <w:sz w:val="19"/>
        </w:rPr>
      </w:pPr>
    </w:p>
    <w:p w14:paraId="32690439">
      <w:pPr>
        <w:spacing w:before="0" w:after="40"/>
      </w:pPr>
      <w:r>
        <w:rPr>
          <w:rFonts w:ascii="Hiragino Sans GB" w:hAnsi="Hiragino Sans GB" w:eastAsia="Hiragino Sans GB"/>
          <w:b/>
          <w:color w:val="315CA9"/>
          <w:sz w:val="19"/>
        </w:rPr>
        <w:t>05</w:t>
      </w:r>
    </w:p>
    <w:p w14:paraId="0260741A">
      <w:pPr>
        <w:pStyle w:val="3"/>
        <w:spacing w:before="0"/>
      </w:pPr>
      <w:r>
        <w:t>项目知识图谱</w:t>
      </w:r>
    </w:p>
    <w:p w14:paraId="3ECAC8B7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展示项目节点、层级关系、触发链路与负责人。</w:t>
      </w:r>
    </w:p>
    <w:p w14:paraId="7C217471">
      <w:pPr>
        <w:spacing w:before="80" w:after="60"/>
        <w:jc w:val="center"/>
      </w:pPr>
      <w:r>
        <w:drawing>
          <wp:inline distT="0" distB="0" distL="114300" distR="114300">
            <wp:extent cx="4434840" cy="3442970"/>
            <wp:effectExtent l="0" t="0" r="10160" b="11430"/>
            <wp:docPr id="5" name="Picture 5" descr="图 04  项目知识图谱" title="图 04  项目知识图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04  项目知识图谱" title="图 04  项目知识图谱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B8D3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04  项目知识图谱</w:t>
      </w:r>
    </w:p>
    <w:p w14:paraId="764D7CD3">
      <w:pPr>
        <w:pStyle w:val="4"/>
        <w:spacing w:before="100" w:after="40"/>
      </w:pPr>
      <w:r>
        <w:t>页面作用</w:t>
      </w:r>
    </w:p>
    <w:p w14:paraId="32D2599A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把项目 Scope、风险信号、复合风险、内控测试、审计程序、合规检查和完成节点连接成可追溯 DAG，让用户理解某项程序为什么被触发以及结论将流向哪里。</w:t>
      </w:r>
    </w:p>
    <w:p w14:paraId="0597C46C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知识图谱 → 选择已启动 DAG 的审计项目 → 图谱视图。</w:t>
      </w:r>
    </w:p>
    <w:p w14:paraId="426761E2">
      <w:pPr>
        <w:pStyle w:val="4"/>
        <w:spacing w:before="100" w:after="40"/>
      </w:pPr>
      <w:r>
        <w:t>使用步骤</w:t>
      </w:r>
    </w:p>
    <w:p w14:paraId="63D465DF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按节点类型或层级筛选图谱。</w:t>
      </w:r>
    </w:p>
    <w:p w14:paraId="5FFFCCAA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使用缩放、适配画布和自动排布调整视图。</w:t>
      </w:r>
    </w:p>
    <w:p w14:paraId="65640298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点击节点查看负责人、状态、说明和上下游关系。</w:t>
      </w:r>
    </w:p>
    <w:p w14:paraId="5D87E6B8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在列表视图确认负责人分配后进入审核工作台。</w:t>
      </w:r>
    </w:p>
    <w:p w14:paraId="14ED9C37">
      <w:pPr>
        <w:pStyle w:val="4"/>
        <w:spacing w:before="100" w:after="40"/>
      </w:pPr>
      <w:r>
        <w:t>交互逻辑</w:t>
      </w:r>
    </w:p>
    <w:p w14:paraId="3ACE22D6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图谱与列表共享节点、负责人和节点详情。</w:t>
      </w:r>
    </w:p>
    <w:p w14:paraId="532AB838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关系线区分触发、跨层触发、参数调整和汇入完成。</w:t>
      </w:r>
    </w:p>
    <w:p w14:paraId="722B6C15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点击关系相关节点时，相关链路高亮；节点详情以固定侧栏呈现。</w:t>
      </w:r>
    </w:p>
    <w:p w14:paraId="04FB6480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形成项目 DAG、节点负责人和可追溯关系，</w:t>
      </w:r>
      <w:r>
        <w:rPr>
          <w:rFonts w:hint="eastAsia" w:ascii="Hiragino Sans GB W6" w:hAnsi="Hiragino Sans GB W6" w:eastAsia="Hiragino Sans GB W6" w:cs="Hiragino Sans GB W6"/>
          <w:b/>
          <w:bCs/>
          <w:color w:val="34465F"/>
          <w:sz w:val="19"/>
        </w:rPr>
        <w:t>生成负责人审核工作台任务</w:t>
      </w:r>
      <w:r>
        <w:rPr>
          <w:rFonts w:ascii="Hiragino Sans GB" w:hAnsi="Hiragino Sans GB" w:eastAsia="Hiragino Sans GB"/>
          <w:color w:val="34465F"/>
          <w:sz w:val="19"/>
        </w:rPr>
        <w:t>。</w:t>
      </w:r>
    </w:p>
    <w:p w14:paraId="1B1747CA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3A8BDFBA">
      <w:r>
        <w:rPr>
          <w:rFonts w:ascii="Hiragino Sans GB" w:hAnsi="Hiragino Sans GB" w:eastAsia="Hiragino Sans GB"/>
          <w:b/>
          <w:color w:val="315CA9"/>
          <w:sz w:val="19"/>
        </w:rPr>
        <w:t>05</w:t>
      </w:r>
    </w:p>
    <w:p w14:paraId="2A5C4C57">
      <w:pPr>
        <w:pStyle w:val="3"/>
        <w:spacing w:before="0"/>
      </w:pPr>
      <w:r>
        <w:t>负责人审核工作台</w:t>
      </w:r>
    </w:p>
    <w:p w14:paraId="04C30DCF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各负责人处理知识图谱分配给自己的标签任务。</w:t>
      </w:r>
    </w:p>
    <w:p w14:paraId="47F89A9A">
      <w:pPr>
        <w:spacing w:before="80" w:after="60"/>
        <w:jc w:val="center"/>
      </w:pPr>
      <w:r>
        <w:drawing>
          <wp:inline distT="0" distB="0" distL="114300" distR="114300">
            <wp:extent cx="4434840" cy="3442970"/>
            <wp:effectExtent l="0" t="0" r="10160" b="11430"/>
            <wp:docPr id="6" name="Picture 6" descr="图 05  负责人审核工作台" title="图 05  负责人审核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05  负责人审核工作台" title="图 05  负责人审核工作台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E878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05  负责人审核工作台</w:t>
      </w:r>
    </w:p>
    <w:p w14:paraId="07F2F7A7">
      <w:pPr>
        <w:pStyle w:val="4"/>
        <w:spacing w:before="100" w:after="40"/>
      </w:pPr>
      <w:r>
        <w:t>页面作用</w:t>
      </w:r>
    </w:p>
    <w:p w14:paraId="05A99713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这是执行页面，不是监控页面。负责人在此确认风险、控制测试、审计程序与合规节点的人工结论，处理缺失资料，并在全部任务闭环后移交后续审计。</w:t>
      </w:r>
    </w:p>
    <w:p w14:paraId="578E745D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项目知识图谱 → “审核工作台”。</w:t>
      </w:r>
    </w:p>
    <w:p w14:paraId="583F9DEE">
      <w:pPr>
        <w:pStyle w:val="4"/>
        <w:spacing w:before="100" w:after="40"/>
      </w:pPr>
      <w:r>
        <w:t>使用步骤</w:t>
      </w:r>
    </w:p>
    <w:p w14:paraId="3FB2C9C4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按待</w:t>
      </w:r>
      <w:r>
        <w:rPr>
          <w:rFonts w:hint="eastAsia"/>
          <w:color w:val="34465F"/>
          <w:sz w:val="20"/>
          <w:lang w:eastAsia="zh-CN"/>
        </w:rPr>
        <w:t>【</w:t>
      </w:r>
      <w:r>
        <w:rPr>
          <w:rFonts w:ascii="Hiragino Sans GB" w:hAnsi="Hiragino Sans GB" w:eastAsia="Hiragino Sans GB"/>
          <w:color w:val="34465F"/>
          <w:sz w:val="20"/>
        </w:rPr>
        <w:t>人工复核</w:t>
      </w:r>
      <w:r>
        <w:rPr>
          <w:rFonts w:hint="eastAsia"/>
          <w:color w:val="34465F"/>
          <w:sz w:val="20"/>
          <w:lang w:eastAsia="zh-CN"/>
        </w:rPr>
        <w:t>】</w:t>
      </w:r>
      <w:r>
        <w:rPr>
          <w:rFonts w:ascii="Hiragino Sans GB" w:hAnsi="Hiragino Sans GB" w:eastAsia="Hiragino Sans GB"/>
          <w:color w:val="34465F"/>
          <w:sz w:val="20"/>
        </w:rPr>
        <w:t>或</w:t>
      </w:r>
      <w:r>
        <w:rPr>
          <w:rFonts w:hint="eastAsia"/>
          <w:color w:val="34465F"/>
          <w:sz w:val="20"/>
          <w:lang w:eastAsia="zh-CN"/>
        </w:rPr>
        <w:t>【</w:t>
      </w:r>
      <w:r>
        <w:rPr>
          <w:rFonts w:ascii="Hiragino Sans GB" w:hAnsi="Hiragino Sans GB" w:eastAsia="Hiragino Sans GB"/>
          <w:color w:val="34465F"/>
          <w:sz w:val="20"/>
        </w:rPr>
        <w:t>待补充资料</w:t>
      </w:r>
      <w:r>
        <w:rPr>
          <w:rFonts w:hint="eastAsia"/>
          <w:color w:val="34465F"/>
          <w:sz w:val="20"/>
          <w:lang w:eastAsia="zh-CN"/>
        </w:rPr>
        <w:t>】</w:t>
      </w:r>
      <w:r>
        <w:rPr>
          <w:rFonts w:ascii="Hiragino Sans GB" w:hAnsi="Hiragino Sans GB" w:eastAsia="Hiragino Sans GB"/>
          <w:color w:val="34465F"/>
          <w:sz w:val="20"/>
        </w:rPr>
        <w:t>查看任务。</w:t>
      </w:r>
    </w:p>
    <w:p w14:paraId="4690E010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打开触发／调参／追溯说明，核对任务来源。</w:t>
      </w:r>
    </w:p>
    <w:p w14:paraId="22E9F8A1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资料齐全时</w:t>
      </w:r>
      <w:r>
        <w:rPr>
          <w:rFonts w:hint="eastAsia"/>
          <w:color w:val="34465F"/>
          <w:sz w:val="20"/>
          <w:lang w:val="en-US" w:eastAsia="zh-CN"/>
        </w:rPr>
        <w:t>确认结论</w:t>
      </w:r>
      <w:r>
        <w:rPr>
          <w:rFonts w:ascii="Hiragino Sans GB" w:hAnsi="Hiragino Sans GB" w:eastAsia="Hiragino Sans GB"/>
          <w:color w:val="34465F"/>
          <w:sz w:val="20"/>
        </w:rPr>
        <w:t>；资料不足时发起补充。</w:t>
      </w:r>
    </w:p>
    <w:p w14:paraId="7A3F250D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全部任务完成后由项目负责人点击“</w:t>
      </w:r>
      <w:r>
        <w:rPr>
          <w:rFonts w:hint="eastAsia" w:ascii="Hiragino Sans GB W6" w:hAnsi="Hiragino Sans GB W6" w:eastAsia="Hiragino Sans GB W6" w:cs="Hiragino Sans GB W6"/>
          <w:b/>
          <w:bCs/>
          <w:color w:val="34465F"/>
          <w:sz w:val="20"/>
        </w:rPr>
        <w:t>进入后续审计</w:t>
      </w:r>
      <w:r>
        <w:rPr>
          <w:rFonts w:ascii="Hiragino Sans GB" w:hAnsi="Hiragino Sans GB" w:eastAsia="Hiragino Sans GB"/>
          <w:color w:val="34465F"/>
          <w:sz w:val="20"/>
        </w:rPr>
        <w:t>”。</w:t>
      </w:r>
    </w:p>
    <w:p w14:paraId="44F5E49B">
      <w:pPr>
        <w:pStyle w:val="4"/>
        <w:spacing w:before="100" w:after="40"/>
        <w:rPr>
          <w:rFonts w:hint="eastAsia" w:eastAsia="Hiragino Sans GB"/>
          <w:lang w:eastAsia="zh-CN"/>
        </w:rPr>
      </w:pPr>
      <w:r>
        <w:t>交互逻辑</w:t>
      </w:r>
    </w:p>
    <w:p w14:paraId="2D403E63">
      <w:pPr>
        <w:pStyle w:val="16"/>
        <w:numPr>
          <w:numId w:val="0"/>
        </w:numPr>
        <w:rPr>
          <w:rFonts w:hint="eastAsia" w:eastAsia="Hiragino Sans GB"/>
          <w:lang w:eastAsia="zh-CN"/>
        </w:rPr>
      </w:pPr>
      <w:r>
        <w:rPr>
          <w:rFonts w:hint="eastAsia" w:eastAsia="Hiragino Sans GB"/>
          <w:lang w:eastAsia="zh-CN"/>
        </w:rPr>
        <w:t>补充资料提交后，系统将自动重新运行相关检查：</w:t>
      </w:r>
    </w:p>
    <w:p w14:paraId="156F704F">
      <w:pPr>
        <w:pStyle w:val="16"/>
        <w:bidi w:val="0"/>
        <w:ind w:left="360" w:leftChars="0" w:hanging="36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如发现新的异常，任务将进入“待人工复核”；</w:t>
      </w:r>
    </w:p>
    <w:p w14:paraId="7E5DBE4C">
      <w:pPr>
        <w:pStyle w:val="16"/>
        <w:bidi w:val="0"/>
        <w:ind w:left="360" w:leftChars="0" w:hanging="36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如问题已解决，对应的“等待补充资料”任务将自动消失；</w:t>
      </w:r>
    </w:p>
    <w:p w14:paraId="22D7BB52">
      <w:pPr>
        <w:pStyle w:val="16"/>
        <w:bidi w:val="0"/>
        <w:ind w:left="360" w:leftChars="0" w:hanging="36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每完成一次有效补充，待补充任务数量将相应减少。</w:t>
      </w:r>
    </w:p>
    <w:p w14:paraId="4D257EA6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锁定标签人工结论和版本，将节点、负责人、证据与关系一并移交后续审计流程。</w:t>
      </w:r>
    </w:p>
    <w:p w14:paraId="17BFAE5A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4F7354A1">
      <w:r>
        <w:rPr>
          <w:rFonts w:ascii="Hiragino Sans GB" w:hAnsi="Hiragino Sans GB" w:eastAsia="Hiragino Sans GB"/>
          <w:b/>
          <w:color w:val="315CA9"/>
          <w:sz w:val="19"/>
        </w:rPr>
        <w:t>06</w:t>
      </w:r>
    </w:p>
    <w:p w14:paraId="64FC4B6A">
      <w:pPr>
        <w:pStyle w:val="3"/>
        <w:spacing w:before="0"/>
      </w:pPr>
      <w:r>
        <w:t>后续审计流程入口与导航</w:t>
      </w:r>
    </w:p>
    <w:p w14:paraId="2A10C04E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承接已锁定标签结论，按六步流程完成正式审计收口。</w:t>
      </w:r>
    </w:p>
    <w:p w14:paraId="01EA0F47">
      <w:pPr>
        <w:spacing w:before="80" w:after="60"/>
        <w:jc w:val="center"/>
      </w:pPr>
      <w:r>
        <w:drawing>
          <wp:inline distT="0" distB="0" distL="114300" distR="114300">
            <wp:extent cx="4434840" cy="3442970"/>
            <wp:effectExtent l="0" t="0" r="10160" b="11430"/>
            <wp:docPr id="7" name="Picture 7" descr="图 06  后续审计流程入口与导航" title="图 06  后续审计流程入口与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06  后续审计流程入口与导航" title="图 06  后续审计流程入口与导航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B154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06  后续审计流程入口与导航</w:t>
      </w:r>
    </w:p>
    <w:p w14:paraId="3CC234CF">
      <w:pPr>
        <w:pStyle w:val="4"/>
        <w:spacing w:before="100" w:after="40"/>
      </w:pPr>
      <w:r>
        <w:t>页面作用</w:t>
      </w:r>
    </w:p>
    <w:p w14:paraId="6D40E52B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后续审计流程是独立模块。左侧按项目显示移交状态，并以六个步骤串联底稿、错报、合规、TB、完成程序和报告签发归档。未移交项目不会出现可用的后续数据。</w:t>
      </w:r>
    </w:p>
    <w:p w14:paraId="08C7AF7D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顶部“后续审计流程”，或审核工作台完成后点击“进入后续审计”。</w:t>
      </w:r>
    </w:p>
    <w:p w14:paraId="78B42DD8">
      <w:pPr>
        <w:pStyle w:val="4"/>
        <w:spacing w:before="100" w:after="40"/>
      </w:pPr>
      <w:r>
        <w:t>使用步骤</w:t>
      </w:r>
    </w:p>
    <w:p w14:paraId="0CFE90F2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在左侧选择已移交项目。</w:t>
      </w:r>
    </w:p>
    <w:p w14:paraId="36540656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先进入审核监控确认整体人员与步骤状态。</w:t>
      </w:r>
    </w:p>
    <w:p w14:paraId="76B986C3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按第 1—6 步顺序处理各页面。</w:t>
      </w:r>
    </w:p>
    <w:p w14:paraId="1D05B02B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完成当前步骤后使用顶部动作推进下一步。</w:t>
      </w:r>
    </w:p>
    <w:p w14:paraId="0BF239FF">
      <w:pPr>
        <w:pStyle w:val="4"/>
        <w:spacing w:before="100" w:after="40"/>
      </w:pPr>
      <w:r>
        <w:t>交互逻辑</w:t>
      </w:r>
    </w:p>
    <w:p w14:paraId="7DE93FAA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步骤按顺序解锁；未达到阶段的页面显示无数据或未解锁。</w:t>
      </w:r>
    </w:p>
    <w:p w14:paraId="5778F1BF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切换项目时读取该项目自己的流程进度。</w:t>
      </w:r>
    </w:p>
    <w:p w14:paraId="3B37D2CD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侧边栏状态与页面顶部步骤编号保持一致。</w:t>
      </w:r>
    </w:p>
    <w:p w14:paraId="0034469F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建立后续审计的顺序控制和项目级进度状态。</w:t>
      </w:r>
    </w:p>
    <w:p w14:paraId="235323FF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3450B39F">
      <w:pPr>
        <w:rPr>
          <w:rFonts w:ascii="Hiragino Sans GB" w:hAnsi="Hiragino Sans GB" w:eastAsia="Hiragino Sans GB"/>
          <w:b/>
          <w:color w:val="315CA9"/>
          <w:sz w:val="19"/>
        </w:rPr>
      </w:pPr>
      <w:r>
        <w:rPr>
          <w:rFonts w:ascii="Hiragino Sans GB" w:hAnsi="Hiragino Sans GB" w:eastAsia="Hiragino Sans GB"/>
          <w:b/>
          <w:color w:val="315CA9"/>
          <w:sz w:val="19"/>
        </w:rPr>
        <w:t>07</w:t>
      </w:r>
    </w:p>
    <w:p w14:paraId="2BA0D78D">
      <w:pPr>
        <w:rPr>
          <w:rFonts w:hint="eastAsia" w:ascii="Hiragino Sans GB W6" w:hAnsi="Hiragino Sans GB W6" w:eastAsia="Hiragino Sans GB W6" w:cs="Hiragino Sans GB W6"/>
          <w:b/>
          <w:bCs/>
          <w:sz w:val="34"/>
          <w:szCs w:val="34"/>
        </w:rPr>
      </w:pPr>
      <w:r>
        <w:rPr>
          <w:rFonts w:hint="eastAsia" w:ascii="Hiragino Sans GB W6" w:hAnsi="Hiragino Sans GB W6" w:eastAsia="Hiragino Sans GB W6" w:cs="Hiragino Sans GB W6"/>
          <w:b/>
          <w:bCs/>
          <w:sz w:val="34"/>
          <w:szCs w:val="34"/>
        </w:rPr>
        <w:t>证据与底稿完整性校验</w:t>
      </w:r>
    </w:p>
    <w:p w14:paraId="44744259">
      <w:pPr>
        <w:jc w:val="center"/>
      </w:pPr>
      <w:r>
        <w:rPr>
          <w:rFonts w:ascii="Hiragino Sans GB" w:hAnsi="Hiragino Sans GB" w:eastAsia="Hiragino Sans GB"/>
          <w:color w:val="718097"/>
          <w:sz w:val="20"/>
        </w:rPr>
        <w:t>第 1 步：把图谱任务落到正式审计底稿。</w:t>
      </w:r>
      <w:r>
        <w:drawing>
          <wp:inline distT="0" distB="0" distL="114300" distR="114300">
            <wp:extent cx="4434840" cy="3442970"/>
            <wp:effectExtent l="0" t="0" r="10160" b="11430"/>
            <wp:docPr id="8" name="Picture 8" descr="图 07  证据与底稿完整性校验" title="图 07  证据与底稿完整性校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07  证据与底稿完整性校验" title="图 07  证据与底稿完整性校验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1219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07  证据与底稿完整性校验</w:t>
      </w:r>
    </w:p>
    <w:p w14:paraId="2436C3A4">
      <w:pPr>
        <w:pStyle w:val="4"/>
        <w:spacing w:before="100" w:after="40"/>
      </w:pPr>
      <w:r>
        <w:t>页面作用</w:t>
      </w:r>
    </w:p>
    <w:p w14:paraId="4A18EA33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按计划、风险评估、内控测试、实质性程序和完成阶段组织底稿，校验底稿索引、附件、编制与复核记录。底稿编制人继承对应知识图谱标签负责人。</w:t>
      </w:r>
    </w:p>
    <w:p w14:paraId="54B745BD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后续审计流程 → 第 1 步“证据与底稿完整性校验”。</w:t>
      </w:r>
    </w:p>
    <w:p w14:paraId="4B5A5BC4">
      <w:pPr>
        <w:pStyle w:val="4"/>
        <w:spacing w:before="100" w:after="40"/>
      </w:pPr>
      <w:r>
        <w:t>使用步骤</w:t>
      </w:r>
    </w:p>
    <w:p w14:paraId="78FE0E3B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展开底稿目录并选择阶段、循环或科目。</w:t>
      </w:r>
    </w:p>
    <w:p w14:paraId="2FC5FF1D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查看底稿列表中的来源标签、编制人、日期和复核人。</w:t>
      </w:r>
    </w:p>
    <w:p w14:paraId="642189DA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点击底稿进入详情，核对执行结果、附件、复核记录与疑点。</w:t>
      </w:r>
    </w:p>
    <w:p w14:paraId="61C3A9FE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补充或更新底稿后确认完整性。</w:t>
      </w:r>
    </w:p>
    <w:p w14:paraId="469FF56B">
      <w:pPr>
        <w:pStyle w:val="4"/>
        <w:spacing w:before="100" w:after="40"/>
      </w:pPr>
      <w:r>
        <w:t>交互逻辑</w:t>
      </w:r>
    </w:p>
    <w:p w14:paraId="60B960CD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目录可折叠，所有阶段文件夹均可展开。</w:t>
      </w:r>
    </w:p>
    <w:p w14:paraId="74BB335A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编制人取自来源标签负责人；复核人统一为符金雨。</w:t>
      </w:r>
    </w:p>
    <w:p w14:paraId="172F0707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底稿详情保留来源标签 ID，便于从错报或合规事项反查。</w:t>
      </w:r>
    </w:p>
    <w:p w14:paraId="20720206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生成完整、可复核、可追溯的底稿集，为错报、合规和报告结论提供证据。</w:t>
      </w:r>
    </w:p>
    <w:p w14:paraId="6547B424">
      <w:r>
        <w:br w:type="page"/>
      </w:r>
    </w:p>
    <w:p w14:paraId="3F03F4BB">
      <w:pPr>
        <w:spacing w:before="0" w:after="40"/>
      </w:pPr>
      <w:r>
        <w:rPr>
          <w:rFonts w:ascii="Hiragino Sans GB" w:hAnsi="Hiragino Sans GB" w:eastAsia="Hiragino Sans GB"/>
          <w:b/>
          <w:color w:val="315CA9"/>
          <w:sz w:val="19"/>
        </w:rPr>
        <w:t>08</w:t>
      </w:r>
    </w:p>
    <w:p w14:paraId="32FB9BF4">
      <w:pPr>
        <w:pStyle w:val="3"/>
        <w:spacing w:before="0"/>
      </w:pPr>
      <w:r>
        <w:t>错报汇总与重要性评估</w:t>
      </w:r>
    </w:p>
    <w:p w14:paraId="0CAD9935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第 2 步：集中处理调整及未调整错报。</w:t>
      </w:r>
    </w:p>
    <w:p w14:paraId="67C49057">
      <w:pPr>
        <w:spacing w:before="80" w:after="60"/>
        <w:jc w:val="center"/>
      </w:pPr>
      <w:r>
        <w:drawing>
          <wp:inline distT="0" distB="0" distL="114300" distR="114300">
            <wp:extent cx="4434840" cy="3442970"/>
            <wp:effectExtent l="0" t="0" r="10160" b="11430"/>
            <wp:docPr id="9" name="Picture 9" descr="图 08  错报汇总与重要性评估" title="图 08  错报汇总与重要性评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08  错报汇总与重要性评估" title="图 08  错报汇总与重要性评估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4AC1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08  错报汇总与重要性评估</w:t>
      </w:r>
    </w:p>
    <w:p w14:paraId="7F4CB074">
      <w:pPr>
        <w:pStyle w:val="4"/>
        <w:spacing w:before="100" w:after="40"/>
      </w:pPr>
      <w:r>
        <w:t>页面作用</w:t>
      </w:r>
    </w:p>
    <w:p w14:paraId="03B02168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汇总审计过程中识别的错报，按金额、严重程度、状态和关联底稿判断是否需要调整，并与已确认的重要性指标比较。</w:t>
      </w:r>
    </w:p>
    <w:p w14:paraId="1EC50419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后续审计流程 → 第 2 步“错报汇总与重要性评估”。</w:t>
      </w:r>
    </w:p>
    <w:p w14:paraId="78D24795">
      <w:pPr>
        <w:pStyle w:val="4"/>
        <w:spacing w:before="100" w:after="40"/>
      </w:pPr>
      <w:r>
        <w:t>使用步骤</w:t>
      </w:r>
    </w:p>
    <w:p w14:paraId="10EC4287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查看错报笔数、总金额、高风险数量和已调整数量。</w:t>
      </w:r>
    </w:p>
    <w:p w14:paraId="70054233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按状态、严重程度、科目或项目筛选。</w:t>
      </w:r>
    </w:p>
    <w:p w14:paraId="016D2A8E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逐笔确认金额、描述、状态与关联底稿。</w:t>
      </w:r>
    </w:p>
    <w:p w14:paraId="0629C89A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必要时点击底稿编号回到证据页面，完成后确认错报汇总。</w:t>
      </w:r>
    </w:p>
    <w:p w14:paraId="78B27EB3">
      <w:pPr>
        <w:pStyle w:val="4"/>
        <w:spacing w:before="100" w:after="40"/>
      </w:pPr>
      <w:r>
        <w:t>交互逻辑</w:t>
      </w:r>
    </w:p>
    <w:p w14:paraId="05DBAD03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状态支持未调整、部分调整、已调整。</w:t>
      </w:r>
    </w:p>
    <w:p w14:paraId="6E6B7F1B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关联底稿为可点击链接，保证结论可追溯。</w:t>
      </w:r>
    </w:p>
    <w:p w14:paraId="5796E000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页面使用前置重要性参数进行累计错报判断。</w:t>
      </w:r>
    </w:p>
    <w:p w14:paraId="5719AD07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形成经复核的错报汇总及调整结论，供 TB 调整、完成程序和报告披露使用。</w:t>
      </w:r>
    </w:p>
    <w:p w14:paraId="7A2F2D3C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314378C2">
      <w:r>
        <w:rPr>
          <w:rFonts w:ascii="Hiragino Sans GB" w:hAnsi="Hiragino Sans GB" w:eastAsia="Hiragino Sans GB"/>
          <w:b/>
          <w:color w:val="315CA9"/>
          <w:sz w:val="19"/>
        </w:rPr>
        <w:t>09</w:t>
      </w:r>
    </w:p>
    <w:p w14:paraId="23C16B4F">
      <w:pPr>
        <w:pStyle w:val="3"/>
        <w:spacing w:before="0"/>
      </w:pPr>
      <w:r>
        <w:t>合规风险与违规排查</w:t>
      </w:r>
    </w:p>
    <w:p w14:paraId="0C2EAB28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第 3 步：确认合规问题、影响与整改状态。</w:t>
      </w:r>
    </w:p>
    <w:p w14:paraId="41BBF66E">
      <w:pPr>
        <w:spacing w:before="80" w:after="60"/>
        <w:jc w:val="center"/>
      </w:pPr>
      <w:r>
        <w:drawing>
          <wp:inline distT="0" distB="0" distL="114300" distR="114300">
            <wp:extent cx="4434840" cy="3442970"/>
            <wp:effectExtent l="0" t="0" r="10160" b="11430"/>
            <wp:docPr id="10" name="Picture 10" descr="图 09  合规风险与违规排查" title="图 09  合规风险与违规排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 09  合规风险与违规排查" title="图 09  合规风险与违规排查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C978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09  合规风险与违规排查</w:t>
      </w:r>
    </w:p>
    <w:p w14:paraId="0A721D5F">
      <w:pPr>
        <w:pStyle w:val="4"/>
        <w:spacing w:before="100" w:after="40"/>
      </w:pPr>
      <w:r>
        <w:t>页面作用</w:t>
      </w:r>
    </w:p>
    <w:p w14:paraId="1445529D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集中呈现税务、资金、合同、环保、劳动用工、网络安全和商业贿赂等合规问题，并记录法律依据、严重程度和处理状态。</w:t>
      </w:r>
    </w:p>
    <w:p w14:paraId="300A0692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后续审计流程 → 第 3 步“合规风险与违规排查”。</w:t>
      </w:r>
    </w:p>
    <w:p w14:paraId="2A7CC45B">
      <w:pPr>
        <w:pStyle w:val="4"/>
        <w:spacing w:before="100" w:after="40"/>
      </w:pPr>
      <w:r>
        <w:t>使用步骤</w:t>
      </w:r>
    </w:p>
    <w:p w14:paraId="40455EA9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查看重大、一般和低风险问题分布。</w:t>
      </w:r>
    </w:p>
    <w:p w14:paraId="2C35EA47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按类别、严重程度和状态筛选。</w:t>
      </w:r>
    </w:p>
    <w:p w14:paraId="48DF5C2C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打开问题详情，核对描述、法律依据、涉及节点和当前状态。</w:t>
      </w:r>
    </w:p>
    <w:p w14:paraId="2FB96D8C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更新提交或审批状态并完成合规审核。</w:t>
      </w:r>
    </w:p>
    <w:p w14:paraId="556AAA94">
      <w:pPr>
        <w:pStyle w:val="4"/>
        <w:spacing w:before="100" w:after="40"/>
      </w:pPr>
      <w:r>
        <w:t>交互逻辑</w:t>
      </w:r>
    </w:p>
    <w:p w14:paraId="304FDACB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严重程度与状态使用独立语义色。</w:t>
      </w:r>
    </w:p>
    <w:p w14:paraId="7B258233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问题详情在当前页面展开，不离开清单上下文。</w:t>
      </w:r>
    </w:p>
    <w:p w14:paraId="4049E00D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新增问题保留人工录入入口，与图谱自动识别问题并存。</w:t>
      </w:r>
    </w:p>
    <w:p w14:paraId="738B9B5C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形成合规问题清单、处理结论和报告披露输入。</w:t>
      </w:r>
    </w:p>
    <w:p w14:paraId="2134A6CF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7EE82612">
      <w:r>
        <w:rPr>
          <w:rFonts w:ascii="Hiragino Sans GB" w:hAnsi="Hiragino Sans GB" w:eastAsia="Hiragino Sans GB"/>
          <w:b/>
          <w:color w:val="315CA9"/>
          <w:sz w:val="19"/>
        </w:rPr>
        <w:t>10</w:t>
      </w:r>
    </w:p>
    <w:p w14:paraId="6800B92D">
      <w:pPr>
        <w:pStyle w:val="3"/>
        <w:spacing w:before="0"/>
      </w:pPr>
      <w:r>
        <w:t>TB 调整后试算平衡表</w:t>
      </w:r>
    </w:p>
    <w:p w14:paraId="3B13F61B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第 4 步：写入已确认调整并验证借贷平衡。</w:t>
      </w:r>
    </w:p>
    <w:p w14:paraId="21E8C7D1">
      <w:pPr>
        <w:spacing w:before="80" w:after="60"/>
        <w:jc w:val="center"/>
      </w:pPr>
      <w:r>
        <w:drawing>
          <wp:inline distT="0" distB="0" distL="114300" distR="114300">
            <wp:extent cx="4434840" cy="3442970"/>
            <wp:effectExtent l="0" t="0" r="10160" b="11430"/>
            <wp:docPr id="11" name="Picture 11" descr="图 10  TB 调整后试算平衡表" title="图 10  TB 调整后试算平衡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 10  TB 调整后试算平衡表" title="图 10  TB 调整后试算平衡表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4903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10  TB 调整后试算平衡表</w:t>
      </w:r>
    </w:p>
    <w:p w14:paraId="45FC6F26">
      <w:pPr>
        <w:pStyle w:val="4"/>
        <w:spacing w:before="100" w:after="40"/>
      </w:pPr>
      <w:r>
        <w:t>页面作用</w:t>
      </w:r>
    </w:p>
    <w:p w14:paraId="172E2D56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按科目展示调整前、调整分录和调整后金额，确认已审核错报正确写入财务报表，并确保调整后借贷平衡。</w:t>
      </w:r>
    </w:p>
    <w:p w14:paraId="149D4697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后续审计流程 → 第 4 步“TB 试算平衡表调整”。</w:t>
      </w:r>
    </w:p>
    <w:p w14:paraId="571DB356">
      <w:pPr>
        <w:pStyle w:val="4"/>
        <w:spacing w:before="100" w:after="40"/>
      </w:pPr>
      <w:r>
        <w:t>使用步骤</w:t>
      </w:r>
    </w:p>
    <w:p w14:paraId="22809FDA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选择审计年度。</w:t>
      </w:r>
    </w:p>
    <w:p w14:paraId="19FFAC0B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按科目编码或名称筛选。</w:t>
      </w:r>
    </w:p>
    <w:p w14:paraId="2CD0EBAE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查看分录汇总并核对每笔调整影响。</w:t>
      </w:r>
    </w:p>
    <w:p w14:paraId="4F7D9EC8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确认借贷平衡后导出试算表或锁定报表。</w:t>
      </w:r>
    </w:p>
    <w:p w14:paraId="2973748B">
      <w:pPr>
        <w:pStyle w:val="4"/>
        <w:spacing w:before="100" w:after="40"/>
      </w:pPr>
      <w:r>
        <w:t>交互逻辑</w:t>
      </w:r>
    </w:p>
    <w:p w14:paraId="14057670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顶部只保留标题、平衡状态、年度和必要动作，减少解释信息。</w:t>
      </w:r>
    </w:p>
    <w:p w14:paraId="2CFF38EE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调整前、调整分录和调整后列使用一致的数值格式。</w:t>
      </w:r>
    </w:p>
    <w:p w14:paraId="01CA9A6C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借贷不平衡时不应允许进入完成程序。</w:t>
      </w:r>
    </w:p>
    <w:p w14:paraId="05A4F9A3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形成锁定的调整后 TB，供财务报表最终核对和完成程序使用。</w:t>
      </w:r>
    </w:p>
    <w:p w14:paraId="11739FC6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0B2FFEEA">
      <w:r>
        <w:rPr>
          <w:rFonts w:ascii="Hiragino Sans GB" w:hAnsi="Hiragino Sans GB" w:eastAsia="Hiragino Sans GB"/>
          <w:b/>
          <w:color w:val="315CA9"/>
          <w:sz w:val="19"/>
        </w:rPr>
        <w:t>11</w:t>
      </w:r>
    </w:p>
    <w:p w14:paraId="195647A2">
      <w:pPr>
        <w:pStyle w:val="3"/>
        <w:spacing w:before="0"/>
      </w:pPr>
      <w:r>
        <w:t>完成程序</w:t>
      </w:r>
    </w:p>
    <w:p w14:paraId="1DB61AC7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第 5 步：执行报告出具前的最终审计程序。</w:t>
      </w:r>
    </w:p>
    <w:p w14:paraId="549EC9AF">
      <w:pPr>
        <w:spacing w:before="80" w:after="60"/>
        <w:jc w:val="center"/>
      </w:pPr>
      <w:r>
        <w:drawing>
          <wp:inline distT="0" distB="0" distL="114300" distR="114300">
            <wp:extent cx="4434840" cy="3442970"/>
            <wp:effectExtent l="0" t="0" r="10160" b="11430"/>
            <wp:docPr id="12" name="Picture 12" descr="图 11  完成程序" title="图 11  完成程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 11  完成程序" title="图 11  完成程序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CB70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11  完成程序</w:t>
      </w:r>
    </w:p>
    <w:p w14:paraId="29A3BF74">
      <w:pPr>
        <w:pStyle w:val="4"/>
        <w:spacing w:before="100" w:after="40"/>
      </w:pPr>
      <w:r>
        <w:t>页面作用</w:t>
      </w:r>
    </w:p>
    <w:p w14:paraId="6432E6A3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完成期后事项、持续经营、关联方、管理层声明和认定覆盖等程序，汇总完成率并生成审计报告草案。</w:t>
      </w:r>
    </w:p>
    <w:p w14:paraId="24C6E8B2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后续审计流程 → 第 5 步“完成程序”。</w:t>
      </w:r>
    </w:p>
    <w:p w14:paraId="53C35ABD">
      <w:pPr>
        <w:pStyle w:val="4"/>
        <w:spacing w:before="100" w:after="40"/>
      </w:pPr>
      <w:r>
        <w:t>使用步骤</w:t>
      </w:r>
    </w:p>
    <w:p w14:paraId="30E4A5C5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按完成程序分类查看完成数。</w:t>
      </w:r>
    </w:p>
    <w:p w14:paraId="233030D0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核对每项程序的执行人、日期、复核人和状态。</w:t>
      </w:r>
    </w:p>
    <w:p w14:paraId="797EA878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对进行中程序补充执行结果并标记完成。</w:t>
      </w:r>
    </w:p>
    <w:p w14:paraId="04F9BC78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全部程序完成后生成审计报告草案并提交复核。</w:t>
      </w:r>
    </w:p>
    <w:p w14:paraId="215EFC16">
      <w:pPr>
        <w:pStyle w:val="4"/>
        <w:spacing w:before="100" w:after="40"/>
      </w:pPr>
      <w:r>
        <w:t>交互逻辑</w:t>
      </w:r>
    </w:p>
    <w:p w14:paraId="62DB4C36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顶部阶段条显示各类程序完成情况。</w:t>
      </w:r>
    </w:p>
    <w:p w14:paraId="2F90485F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右侧圆环汇总整体完成率。</w:t>
      </w:r>
    </w:p>
    <w:p w14:paraId="38E18FA8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程序状态为已完成、进行中或未开始；未完成程序阻止报告签发。</w:t>
      </w:r>
    </w:p>
    <w:p w14:paraId="716052DB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形成经复核的完成阶段结论和报告草案，进入报告签发与归档。</w:t>
      </w:r>
    </w:p>
    <w:p w14:paraId="4B25A337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4D264D59">
      <w:r>
        <w:rPr>
          <w:rFonts w:ascii="Hiragino Sans GB" w:hAnsi="Hiragino Sans GB" w:eastAsia="Hiragino Sans GB"/>
          <w:b/>
          <w:color w:val="315CA9"/>
          <w:sz w:val="19"/>
        </w:rPr>
        <w:t>12</w:t>
      </w:r>
    </w:p>
    <w:p w14:paraId="56CEB014">
      <w:pPr>
        <w:pStyle w:val="3"/>
        <w:spacing w:before="0"/>
      </w:pPr>
      <w:r>
        <w:t>报告签发与项目归档</w:t>
      </w:r>
    </w:p>
    <w:p w14:paraId="458BEB88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第 6 步：批准报告、完成归档并触发知识回流。</w:t>
      </w:r>
    </w:p>
    <w:p w14:paraId="19C7FC36">
      <w:pPr>
        <w:spacing w:before="80" w:after="60"/>
        <w:jc w:val="center"/>
      </w:pPr>
      <w:r>
        <w:drawing>
          <wp:inline distT="0" distB="0" distL="114300" distR="114300">
            <wp:extent cx="4434840" cy="3442970"/>
            <wp:effectExtent l="0" t="0" r="10160" b="11430"/>
            <wp:docPr id="13" name="Picture 13" descr="图 12  报告签发与项目归档" title="图 12  报告签发与项目归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图 12  报告签发与项目归档" title="图 12  报告签发与项目归档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70E2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12  报告签发与项目归档</w:t>
      </w:r>
    </w:p>
    <w:p w14:paraId="3009F999">
      <w:pPr>
        <w:pStyle w:val="4"/>
        <w:spacing w:before="100" w:after="40"/>
      </w:pPr>
      <w:r>
        <w:t>页面作用</w:t>
      </w:r>
    </w:p>
    <w:p w14:paraId="06EFCDE3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统一检查报告终稿、签字审批、底稿归档清单和知识图谱回流条件，完成项目法律与质量闭环。</w:t>
      </w:r>
    </w:p>
    <w:p w14:paraId="247E1026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后续审计流程 → 第 6 步“报告签发与归档”。</w:t>
      </w:r>
    </w:p>
    <w:p w14:paraId="75C4A936">
      <w:pPr>
        <w:pStyle w:val="4"/>
        <w:spacing w:before="100" w:after="40"/>
      </w:pPr>
      <w:r>
        <w:t>使用步骤</w:t>
      </w:r>
    </w:p>
    <w:p w14:paraId="183DA4F8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确认报告终稿版本已锁定。</w:t>
      </w:r>
    </w:p>
    <w:p w14:paraId="286FDDE3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核对重大事项、未调整错报、关键底稿和报告日期。</w:t>
      </w:r>
    </w:p>
    <w:p w14:paraId="5827EDBA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核对项目负责人、质量复核人、签字 CPA 和计划签发日。</w:t>
      </w:r>
    </w:p>
    <w:p w14:paraId="492F05E8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批准报告并完成归档。</w:t>
      </w:r>
    </w:p>
    <w:p w14:paraId="4F924806">
      <w:pPr>
        <w:pStyle w:val="4"/>
        <w:spacing w:before="100" w:after="40"/>
      </w:pPr>
      <w:r>
        <w:t>交互逻辑</w:t>
      </w:r>
    </w:p>
    <w:p w14:paraId="36FBF1DA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检查清单未全部通过时，签发动作保持待处理。</w:t>
      </w:r>
    </w:p>
    <w:p w14:paraId="28B025D8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归档后冻结项目版本并保留审计轨迹。</w:t>
      </w:r>
    </w:p>
    <w:p w14:paraId="3CE9F499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知识回流在归档完成后触发，将标签结论和项目经验写回资产层。</w:t>
      </w:r>
    </w:p>
    <w:p w14:paraId="3D3896BE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形成已签发审计报告、完整项目档案和可复用的知识回流版本。</w:t>
      </w:r>
    </w:p>
    <w:p w14:paraId="184EB3BF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7B4CF487">
      <w:r>
        <w:rPr>
          <w:rFonts w:ascii="Hiragino Sans GB" w:hAnsi="Hiragino Sans GB" w:eastAsia="Hiragino Sans GB"/>
          <w:b/>
          <w:color w:val="315CA9"/>
          <w:sz w:val="19"/>
        </w:rPr>
        <w:t>13</w:t>
      </w:r>
    </w:p>
    <w:p w14:paraId="2315B9FE">
      <w:pPr>
        <w:pStyle w:val="3"/>
        <w:spacing w:before="0"/>
      </w:pPr>
      <w:r>
        <w:t>审核监控—标签审核系统</w:t>
      </w:r>
    </w:p>
    <w:p w14:paraId="33490CE2">
      <w:pPr>
        <w:spacing w:after="180"/>
        <w:jc w:val="center"/>
      </w:pPr>
      <w:r>
        <w:rPr>
          <w:rFonts w:ascii="Hiragino Sans GB" w:hAnsi="Hiragino Sans GB" w:eastAsia="Hiragino Sans GB"/>
          <w:color w:val="718097"/>
          <w:sz w:val="20"/>
        </w:rPr>
        <w:t>独立监控模块：查看各负责人在审核工作台的标签处理进度。</w:t>
      </w:r>
      <w:r>
        <w:drawing>
          <wp:inline distT="0" distB="0" distL="114300" distR="114300">
            <wp:extent cx="4434840" cy="3442970"/>
            <wp:effectExtent l="0" t="0" r="10160" b="11430"/>
            <wp:docPr id="14" name="Picture 14" descr="图 13  审核监控—标签审核系统" title="图 13  审核监控—标签审核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 13  审核监控—标签审核系统" title="图 13  审核监控—标签审核系统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2843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13  审核监控—标签审核系统</w:t>
      </w:r>
    </w:p>
    <w:p w14:paraId="736DCF4F">
      <w:pPr>
        <w:pStyle w:val="4"/>
        <w:spacing w:before="100" w:after="40"/>
      </w:pPr>
      <w:r>
        <w:t>页面作用</w:t>
      </w:r>
    </w:p>
    <w:p w14:paraId="524040B7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面向项目负责人提供只读进度视图，按负责人和标签状态查看哪些标签已通过、处理中或待审核。该模块不替代负责人审核工作台，也不展示节点详情。</w:t>
      </w:r>
    </w:p>
    <w:p w14:paraId="48196938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后续审计流程 → 审核监控 → 项目审核进度 → “标签审核系统”。</w:t>
      </w:r>
    </w:p>
    <w:p w14:paraId="3059C442">
      <w:pPr>
        <w:pStyle w:val="4"/>
        <w:spacing w:before="100" w:after="40"/>
      </w:pPr>
      <w:r>
        <w:t>使用步骤</w:t>
      </w:r>
    </w:p>
    <w:p w14:paraId="73844CDB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选择审计项目。</w:t>
      </w:r>
    </w:p>
    <w:p w14:paraId="6D7BB0C9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按负责人或状态筛选。</w:t>
      </w:r>
    </w:p>
    <w:p w14:paraId="7B3F78F3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在图谱视图查看节点关系与状态点。</w:t>
      </w:r>
    </w:p>
    <w:p w14:paraId="5EED30C2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切换列表视图核对编号、类型、负责人、结论和状态。</w:t>
      </w:r>
    </w:p>
    <w:p w14:paraId="189E9990">
      <w:pPr>
        <w:pStyle w:val="4"/>
        <w:spacing w:before="100" w:after="40"/>
      </w:pPr>
      <w:r>
        <w:t>交互逻辑</w:t>
      </w:r>
    </w:p>
    <w:p w14:paraId="1F3FF945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图谱／列表两种视图共享筛选条件。</w:t>
      </w:r>
    </w:p>
    <w:p w14:paraId="7A6F5DC6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左侧负责人列表显示完成数和进度线。</w:t>
      </w:r>
    </w:p>
    <w:p w14:paraId="0C65D93D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监控页只展示进度，不打开单个标签详情；需要处理任务时返回审核工作台。</w:t>
      </w:r>
    </w:p>
    <w:p w14:paraId="0DF2C959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帮助项目负责人识别未完成标签和责任人，不改变任务结论。</w:t>
      </w:r>
    </w:p>
    <w:p w14:paraId="6403F317">
      <w:pPr>
        <w:rPr>
          <w:rFonts w:ascii="Hiragino Sans GB" w:hAnsi="Hiragino Sans GB" w:eastAsia="Hiragino Sans GB"/>
          <w:b/>
          <w:color w:val="315CA9"/>
          <w:sz w:val="19"/>
        </w:rPr>
      </w:pPr>
    </w:p>
    <w:p w14:paraId="68E6BDFE">
      <w:r>
        <w:rPr>
          <w:rFonts w:ascii="Hiragino Sans GB" w:hAnsi="Hiragino Sans GB" w:eastAsia="Hiragino Sans GB"/>
          <w:b/>
          <w:color w:val="315CA9"/>
          <w:sz w:val="19"/>
        </w:rPr>
        <w:t>14</w:t>
      </w:r>
    </w:p>
    <w:p w14:paraId="215C9926">
      <w:pPr>
        <w:pStyle w:val="3"/>
        <w:spacing w:before="0"/>
      </w:pPr>
      <w:r>
        <w:t>审核监控—后续审计流程</w:t>
      </w:r>
    </w:p>
    <w:p w14:paraId="76C4A1A6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独立监控模块：按负责人和步骤查看后续审计任务进度。</w:t>
      </w:r>
    </w:p>
    <w:p w14:paraId="22004056">
      <w:pPr>
        <w:spacing w:before="80" w:after="60"/>
        <w:jc w:val="center"/>
      </w:pPr>
      <w:r>
        <w:drawing>
          <wp:inline distT="0" distB="0" distL="114300" distR="114300">
            <wp:extent cx="4434840" cy="3442970"/>
            <wp:effectExtent l="0" t="0" r="10160" b="11430"/>
            <wp:docPr id="15" name="Picture 15" descr="图 14  审核监控—后续审计流程" title="图 14  审核监控—后续审计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图 14  审核监控—后续审计流程" title="图 14  审核监控—后续审计流程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2499">
      <w:pPr>
        <w:spacing w:before="0" w:after="100"/>
        <w:jc w:val="center"/>
      </w:pPr>
      <w:r>
        <w:rPr>
          <w:rFonts w:ascii="Hiragino Sans GB" w:hAnsi="Hiragino Sans GB" w:eastAsia="Hiragino Sans GB"/>
          <w:color w:val="718097"/>
          <w:sz w:val="17"/>
        </w:rPr>
        <w:t>图 14  审核监控—后续审计流程</w:t>
      </w:r>
    </w:p>
    <w:p w14:paraId="3606E297">
      <w:pPr>
        <w:pStyle w:val="4"/>
        <w:spacing w:before="100" w:after="40"/>
      </w:pPr>
      <w:r>
        <w:t>页面作用</w:t>
      </w:r>
    </w:p>
    <w:p w14:paraId="1E6BF781">
      <w:pPr>
        <w:spacing w:after="60" w:line="298" w:lineRule="auto"/>
      </w:pPr>
      <w:r>
        <w:rPr>
          <w:rFonts w:ascii="Hiragino Sans GB" w:hAnsi="Hiragino Sans GB" w:eastAsia="Hiragino Sans GB"/>
          <w:color w:val="34465F"/>
          <w:sz w:val="21"/>
        </w:rPr>
        <w:t>汇总后续审计六个步骤中每位负责人的事项、完成比例和状态，支持只看指定负责人、指定步骤或两者组合。负责人继承知识图谱分配，复核事项统一归符金雨。</w:t>
      </w:r>
    </w:p>
    <w:p w14:paraId="0E86161E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进入路径  </w:t>
      </w:r>
      <w:r>
        <w:rPr>
          <w:rFonts w:ascii="Hiragino Sans GB" w:hAnsi="Hiragino Sans GB" w:eastAsia="Hiragino Sans GB"/>
          <w:color w:val="34465F"/>
          <w:sz w:val="19"/>
        </w:rPr>
        <w:t>后续审计流程 → 审核监控 → 项目审核进度 → “后续审计流程”。</w:t>
      </w:r>
    </w:p>
    <w:p w14:paraId="5299CDE1">
      <w:pPr>
        <w:pStyle w:val="4"/>
        <w:spacing w:before="100" w:after="40"/>
      </w:pPr>
      <w:r>
        <w:t>使用步骤</w:t>
      </w:r>
    </w:p>
    <w:p w14:paraId="04A008DD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使用负责人下拉框选择指定人员。</w:t>
      </w:r>
    </w:p>
    <w:p w14:paraId="09FA72F5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使用流程步骤下拉框选择第 1—6 步。</w:t>
      </w:r>
    </w:p>
    <w:p w14:paraId="712823A1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也可点击负责人总览卡片或流程轴节点快速筛选。</w:t>
      </w:r>
    </w:p>
    <w:p w14:paraId="3ADB9130">
      <w:pPr>
        <w:pStyle w:val="14"/>
      </w:pPr>
      <w:r>
        <w:rPr>
          <w:rFonts w:ascii="Hiragino Sans GB" w:hAnsi="Hiragino Sans GB" w:eastAsia="Hiragino Sans GB"/>
          <w:color w:val="34465F"/>
          <w:sz w:val="20"/>
        </w:rPr>
        <w:t>查看明细中的负责事项、完成进度和状态；需要时清除筛选。</w:t>
      </w:r>
    </w:p>
    <w:p w14:paraId="2B1BE4BB">
      <w:pPr>
        <w:pStyle w:val="4"/>
        <w:spacing w:before="100" w:after="40"/>
      </w:pPr>
      <w:r>
        <w:t>交互逻辑</w:t>
      </w:r>
    </w:p>
    <w:p w14:paraId="534DF648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负责人和步骤支持组合筛选，并显示当前结果数量。</w:t>
      </w:r>
    </w:p>
    <w:p w14:paraId="5259815F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负责人总览随步骤筛选重新计算完成率。</w:t>
      </w:r>
    </w:p>
    <w:p w14:paraId="5CC9C4A1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流程轴保留全局上下文，非当前筛选步骤降低强调。</w:t>
      </w:r>
    </w:p>
    <w:p w14:paraId="5BB61810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监控数据只读，具体处理仍在对应后续审计页面完成。</w:t>
      </w:r>
    </w:p>
    <w:p w14:paraId="575909E8">
      <w:pPr>
        <w:shd w:val="clear" w:fill="EDF8F4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2D9A75"/>
          <w:sz w:val="19"/>
        </w:rPr>
        <w:t xml:space="preserve">  输出与流转  </w:t>
      </w:r>
      <w:r>
        <w:rPr>
          <w:rFonts w:ascii="Hiragino Sans GB" w:hAnsi="Hiragino Sans GB" w:eastAsia="Hiragino Sans GB"/>
          <w:color w:val="34465F"/>
          <w:sz w:val="19"/>
        </w:rPr>
        <w:t>帮助项目负责人快速定位某个人在某一步的未完成事项，并据此跟进。</w:t>
      </w:r>
    </w:p>
    <w:p w14:paraId="4437D40D">
      <w:r>
        <w:br w:type="page"/>
      </w:r>
    </w:p>
    <w:p w14:paraId="34FECB79">
      <w:pPr>
        <w:spacing w:before="0" w:after="40"/>
      </w:pPr>
      <w:r>
        <w:rPr>
          <w:rFonts w:ascii="Hiragino Sans GB" w:hAnsi="Hiragino Sans GB" w:eastAsia="Hiragino Sans GB"/>
          <w:b/>
          <w:color w:val="315CA9"/>
          <w:sz w:val="19"/>
        </w:rPr>
        <w:t>15</w:t>
      </w:r>
    </w:p>
    <w:p w14:paraId="0CC1F690">
      <w:pPr>
        <w:pStyle w:val="3"/>
        <w:spacing w:before="0"/>
      </w:pPr>
      <w:r>
        <w:t>跨页面交互与状态规则</w:t>
      </w:r>
    </w:p>
    <w:p w14:paraId="554F6E4D">
      <w:pPr>
        <w:spacing w:after="180"/>
      </w:pPr>
      <w:r>
        <w:rPr>
          <w:rFonts w:ascii="Hiragino Sans GB" w:hAnsi="Hiragino Sans GB" w:eastAsia="Hiragino Sans GB"/>
          <w:color w:val="718097"/>
          <w:sz w:val="20"/>
        </w:rPr>
        <w:t>研发与测试应重点保证以下数据、状态和跳转逻辑一致。</w:t>
      </w:r>
    </w:p>
    <w:p w14:paraId="3A3B5140">
      <w:pPr>
        <w:pStyle w:val="4"/>
      </w:pPr>
      <w:r>
        <w:t>数据承接</w:t>
      </w:r>
    </w:p>
    <w:p w14:paraId="1A8BA6A3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公共标签资产 → 候选标签集：保留标签 ID、版本、类型、执行方式和推荐理由。</w:t>
      </w:r>
    </w:p>
    <w:p w14:paraId="00D3297A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候选标签集 → 项目知识图谱：冻结纳入结果，生成项目节点和 DAG 关系。</w:t>
      </w:r>
    </w:p>
    <w:p w14:paraId="60C45533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项目知识图谱 → 审核工作台：节点负责人直接成为标签任务负责人。</w:t>
      </w:r>
    </w:p>
    <w:p w14:paraId="61141376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审核工作台 → 后续审计：只移交已锁定结论；缺失资料和异常处理轨迹必须保留。</w:t>
      </w:r>
    </w:p>
    <w:p w14:paraId="618CA0A0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知识图谱 → 底稿：来源标签负责人自动成为编制人；复核人统一为</w:t>
      </w:r>
      <w:r>
        <w:rPr>
          <w:rFonts w:hint="eastAsia"/>
          <w:color w:val="34465F"/>
          <w:sz w:val="20"/>
          <w:lang w:val="en-US" w:eastAsia="zh-CN"/>
        </w:rPr>
        <w:t>账号本人</w:t>
      </w:r>
      <w:r>
        <w:rPr>
          <w:rFonts w:ascii="Hiragino Sans GB" w:hAnsi="Hiragino Sans GB" w:eastAsia="Hiragino Sans GB"/>
          <w:color w:val="34465F"/>
          <w:sz w:val="20"/>
        </w:rPr>
        <w:t>。</w:t>
      </w:r>
    </w:p>
    <w:p w14:paraId="7545B130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错报／合规／TB／完成程序 → 报告签发：未完成前置步骤时后续页面不可被误认为已完成。</w:t>
      </w:r>
    </w:p>
    <w:p w14:paraId="56D5CC73">
      <w:pPr>
        <w:pStyle w:val="4"/>
      </w:pPr>
      <w:r>
        <w:t>状态语义</w:t>
      </w:r>
    </w:p>
    <w:tbl>
      <w:tblPr>
        <w:tblStyle w:val="34"/>
        <w:tblW w:w="9360" w:type="dxa"/>
        <w:tblInd w:w="1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800"/>
        <w:gridCol w:w="3860"/>
      </w:tblGrid>
      <w:tr w14:paraId="0F860215">
        <w:trPr>
          <w:tblHeader/>
        </w:trPr>
        <w:tc>
          <w:tcPr>
            <w:tcW w:w="1700" w:type="dxa"/>
            <w:shd w:val="clear" w:color="auto" w:fill="203A6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FF132D9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w="3800" w:type="dxa"/>
            <w:shd w:val="clear" w:color="auto" w:fill="203A6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F9AD1D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含义</w:t>
            </w:r>
          </w:p>
        </w:tc>
        <w:tc>
          <w:tcPr>
            <w:tcW w:w="3860" w:type="dxa"/>
            <w:shd w:val="clear" w:color="auto" w:fill="203A6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BAEA39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允许动作</w:t>
            </w:r>
          </w:p>
        </w:tc>
      </w:tr>
      <w:tr w14:paraId="64D46AD1">
        <w:tc>
          <w:tcPr>
            <w:tcW w:w="17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39D9E2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待审核／未开始</w:t>
            </w:r>
          </w:p>
        </w:tc>
        <w:tc>
          <w:tcPr>
            <w:tcW w:w="38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DC97DA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尚未提交结论或前序步骤未完成</w:t>
            </w:r>
          </w:p>
        </w:tc>
        <w:tc>
          <w:tcPr>
            <w:tcW w:w="38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69B6BC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查看；满足条件后开始处理</w:t>
            </w:r>
          </w:p>
        </w:tc>
      </w:tr>
      <w:tr w14:paraId="168192BE">
        <w:tc>
          <w:tcPr>
            <w:tcW w:w="170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388D2C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处理中／进行中</w:t>
            </w:r>
          </w:p>
        </w:tc>
        <w:tc>
          <w:tcPr>
            <w:tcW w:w="380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6020CF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已进入处理，但仍有资料或事项未闭环</w:t>
            </w:r>
          </w:p>
        </w:tc>
        <w:tc>
          <w:tcPr>
            <w:tcW w:w="386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D0CB777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补充资料、更新结果、提交复核</w:t>
            </w:r>
          </w:p>
        </w:tc>
      </w:tr>
      <w:tr w14:paraId="324B815E">
        <w:tc>
          <w:tcPr>
            <w:tcW w:w="17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2DF2F3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已通过／已完成</w:t>
            </w:r>
          </w:p>
        </w:tc>
        <w:tc>
          <w:tcPr>
            <w:tcW w:w="38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FBD5CF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负责人已提交且复核条件满足</w:t>
            </w:r>
          </w:p>
        </w:tc>
        <w:tc>
          <w:tcPr>
            <w:tcW w:w="38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F9FC32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进入下一步；保留只读轨迹</w:t>
            </w:r>
          </w:p>
        </w:tc>
      </w:tr>
      <w:tr w14:paraId="0076DD9B">
        <w:tc>
          <w:tcPr>
            <w:tcW w:w="170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899EAA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已锁定／已归档</w:t>
            </w:r>
          </w:p>
        </w:tc>
        <w:tc>
          <w:tcPr>
            <w:tcW w:w="380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36B508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版本不再允许普通编辑</w:t>
            </w:r>
          </w:p>
        </w:tc>
        <w:tc>
          <w:tcPr>
            <w:tcW w:w="3860" w:type="dxa"/>
            <w:shd w:val="clear" w:color="auto" w:fill="F7F9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6FE20D"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34465F"/>
                <w:sz w:val="18"/>
              </w:rPr>
              <w:t>查看版本、审计轨迹与知识回流结果</w:t>
            </w:r>
          </w:p>
        </w:tc>
      </w:tr>
    </w:tbl>
    <w:p w14:paraId="5B09E512">
      <w:pPr>
        <w:pStyle w:val="4"/>
      </w:pPr>
      <w:r>
        <w:t>关键验收检查</w:t>
      </w:r>
    </w:p>
    <w:p w14:paraId="3168100C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切换项目后，知识图谱、审核工作台、审核监控和后续审计流程均读取该项目数据。</w:t>
      </w:r>
    </w:p>
    <w:p w14:paraId="57A30966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负责人变更后，底稿编制人和后续审计负责人同步更新；复核人保持</w:t>
      </w:r>
      <w:r>
        <w:rPr>
          <w:rFonts w:hint="eastAsia"/>
          <w:color w:val="34465F"/>
          <w:sz w:val="20"/>
          <w:lang w:val="en-US" w:eastAsia="zh-CN"/>
        </w:rPr>
        <w:t>账号本人</w:t>
      </w:r>
      <w:r>
        <w:rPr>
          <w:rFonts w:ascii="Hiragino Sans GB" w:hAnsi="Hiragino Sans GB" w:eastAsia="Hiragino Sans GB"/>
          <w:color w:val="34465F"/>
          <w:sz w:val="20"/>
        </w:rPr>
        <w:t>。</w:t>
      </w:r>
    </w:p>
    <w:p w14:paraId="017DD62A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负责人／步骤筛选可组合、可清除，且结果数与明细一致。</w:t>
      </w:r>
    </w:p>
    <w:p w14:paraId="058CDCF2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第 1—6 步编号唯一且连续；已完成、进行中、未开始的视觉语义一致。</w:t>
      </w:r>
    </w:p>
    <w:p w14:paraId="5796B9DF">
      <w:pPr>
        <w:pStyle w:val="16"/>
      </w:pPr>
      <w:r>
        <w:rPr>
          <w:rFonts w:ascii="Hiragino Sans GB" w:hAnsi="Hiragino Sans GB" w:eastAsia="Hiragino Sans GB"/>
          <w:color w:val="34465F"/>
          <w:sz w:val="20"/>
        </w:rPr>
        <w:t>报告归档后，项目状态更新为已归档，并生成知识回流版本。</w:t>
      </w:r>
    </w:p>
    <w:p w14:paraId="061F005C">
      <w:pPr>
        <w:shd w:val="clear" w:fill="EEF3FB"/>
        <w:spacing w:before="80" w:after="80" w:line="288" w:lineRule="auto"/>
        <w:ind w:left="202" w:right="202"/>
      </w:pPr>
      <w:r>
        <w:rPr>
          <w:rFonts w:ascii="Hiragino Sans GB" w:hAnsi="Hiragino Sans GB" w:eastAsia="Hiragino Sans GB"/>
          <w:b/>
          <w:color w:val="315CA9"/>
          <w:sz w:val="19"/>
        </w:rPr>
        <w:t xml:space="preserve">  使用建议  </w:t>
      </w:r>
      <w:r>
        <w:rPr>
          <w:rFonts w:ascii="Hiragino Sans GB" w:hAnsi="Hiragino Sans GB" w:eastAsia="Hiragino Sans GB"/>
          <w:color w:val="34465F"/>
          <w:sz w:val="19"/>
        </w:rPr>
        <w:t>日常执行从知识图谱或对应后续审计步骤进入；项目负责人使用审核监控跟进，不在监控页直接修改任务。</w:t>
      </w:r>
    </w:p>
    <w:sectPr>
      <w:headerReference r:id="rId5" w:type="default"/>
      <w:footerReference r:id="rId6" w:type="default"/>
      <w:pgSz w:w="12240" w:h="15840"/>
      <w:pgMar w:top="1123" w:right="1181" w:bottom="1037" w:left="1181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 GB W6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B9E25">
    <w:pPr>
      <w:pStyle w:val="24"/>
      <w:spacing w:before="0" w:after="0"/>
      <w:jc w:val="right"/>
    </w:pPr>
    <w:r>
      <w:rPr>
        <w:rFonts w:ascii="Hiragino Sans GB" w:hAnsi="Hiragino Sans GB" w:eastAsia="Hiragino Sans GB"/>
        <w:color w:val="718097"/>
        <w:sz w:val="17"/>
      </w:rPr>
      <w:t xml:space="preserve">华小安审计标注系统产品说明书  ·  </w:t>
    </w:r>
    <w:r>
      <w:rPr>
        <w:rFonts w:ascii="Hiragino Sans GB" w:hAnsi="Hiragino Sans GB" w:eastAsia="Hiragino Sans GB"/>
        <w:color w:val="718097"/>
        <w:sz w:val="17"/>
      </w:rPr>
      <w:fldChar w:fldCharType="begin"/>
    </w:r>
    <w:r>
      <w:rPr>
        <w:rFonts w:ascii="Hiragino Sans GB" w:hAnsi="Hiragino Sans GB" w:eastAsia="Hiragino Sans GB"/>
        <w:color w:val="718097"/>
        <w:sz w:val="17"/>
      </w:rPr>
      <w:instrText xml:space="preserve"> PAGE </w:instrText>
    </w:r>
    <w:r>
      <w:rPr>
        <w:rFonts w:ascii="Hiragino Sans GB" w:hAnsi="Hiragino Sans GB" w:eastAsia="Hiragino Sans GB"/>
        <w:color w:val="718097"/>
        <w:sz w:val="17"/>
      </w:rPr>
      <w:fldChar w:fldCharType="separate"/>
    </w:r>
    <w:r>
      <w:rPr>
        <w:rFonts w:ascii="Hiragino Sans GB" w:hAnsi="Hiragino Sans GB" w:eastAsia="Hiragino Sans GB"/>
        <w:color w:val="718097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8" w:lineRule="auto"/>
      </w:pPr>
      <w:r>
        <w:separator/>
      </w:r>
    </w:p>
  </w:footnote>
  <w:footnote w:type="continuationSeparator" w:id="1">
    <w:p>
      <w:pPr>
        <w:spacing w:before="0" w:after="0" w:line="29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FB629">
    <w:pPr>
      <w:pStyle w:val="25"/>
      <w:spacing w:before="0" w:after="0"/>
      <w:jc w:val="left"/>
    </w:pPr>
    <w:r>
      <w:rPr>
        <w:rFonts w:ascii="Hiragino Sans GB" w:hAnsi="Hiragino Sans GB" w:eastAsia="Hiragino Sans GB"/>
        <w:b/>
        <w:color w:val="718097"/>
        <w:sz w:val="17"/>
      </w:rPr>
      <w:t>华小安智能工作台  /  产品说明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B5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8" w:lineRule="auto"/>
    </w:pPr>
    <w:rPr>
      <w:rFonts w:ascii="Hiragino Sans GB" w:hAnsi="Hiragino Sans GB" w:eastAsia="Hiragino Sans GB" w:cstheme="minorBidi"/>
      <w:color w:val="34465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00" w:after="160"/>
      <w:outlineLvl w:val="0"/>
    </w:pPr>
    <w:rPr>
      <w:rFonts w:asciiTheme="majorHAnsi" w:hAnsiTheme="majorHAnsi" w:eastAsiaTheme="majorEastAsia" w:cstheme="majorBidi"/>
      <w:b/>
      <w:bCs/>
      <w:color w:val="203A61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315CA9"/>
      <w:sz w:val="27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203A61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40" w:line="269" w:lineRule="auto"/>
      <w:ind w:left="518" w:hanging="259"/>
      <w:contextualSpacing/>
    </w:pPr>
    <w:rPr>
      <w:rFonts w:ascii="Hiragino Sans GB" w:hAnsi="Hiragino Sans GB" w:eastAsia="Hiragino Sans GB"/>
      <w:color w:val="34465F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40" w:line="269" w:lineRule="auto"/>
      <w:ind w:left="518" w:hanging="259"/>
      <w:contextualSpacing/>
    </w:pPr>
    <w:rPr>
      <w:rFonts w:ascii="Hiragino Sans GB" w:hAnsi="Hiragino Sans GB" w:eastAsia="Hiragino Sans GB"/>
      <w:color w:val="34465F"/>
      <w:sz w:val="20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5727</Words>
  <Characters>5828</Characters>
  <Lines>0</Lines>
  <Paragraphs>0</Paragraphs>
  <TotalTime>13</TotalTime>
  <ScaleCrop>false</ScaleCrop>
  <LinksUpToDate>false</LinksUpToDate>
  <CharactersWithSpaces>6127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华小安产品团队</dc:creator>
  <dc:description>generated by python-docx</dc:description>
  <cp:lastModifiedBy>符金雨</cp:lastModifiedBy>
  <dcterms:modified xsi:type="dcterms:W3CDTF">2026-08-12T14:00:45Z</dcterms:modified>
  <dc:subject>页面作用、使用步骤、交互逻辑与业务流转</dc:subject>
  <dc:title>华小安审计标注系统产品说明书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43C32321B5BF14290D0C7C6A84082481_42</vt:lpwstr>
  </property>
</Properties>
</file>