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 &gt; 0.4 → VIOLATION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 — sensor fault or bypass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P101=ON) was injected, none of invariants I-1 through I-8 fired immediately — I-2 requires P101=ON, and I-5 requires LIT101 below 250mm (which would take hours). I-9 closes this gap: MV101=CLOSED and P101=ON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(ae_model.npz, LIT101-only, threshold=0.000738)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LIT101-only AE produced 0 alarms (0.0% FPR). Mean MSE=0.000039, well below the 0.000738 threshold (19x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abnormally) triggered the LIT101-only AE in 94/100 windows (94% detection rate, mean MSE=0.014016).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in offline testing (0% evasion rate)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(all invariants pass), attack detected within 1 cycle (I-2 + I-9), fusion score=1.5 triggered ALERT, and recovery verified with 5/5 consecutive clean cycles. The ODE digital twin achieved RMSE=15.98mm on 29,153 samples of normal operation data, with attack residuals of 106mm mean / 212mm peak — clearly distinguishable from the 8mm normal residual.</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In the 16 April run, the spoofed LIT101 value drifted from 609 mm to 1345 mm due to a feedback loop bug: Phase 2 read HMI_LIT101.Pv after enabling Sim, receiving its own previous spoofed value rather than the real sensor, and applied an additive perturbation (+7.3 mm/cycle) that compounded each cycle. This produced a 736 mm gap between the HMI display and the physical tank — but a spoofed value of 1345 mm would be immediately obvious to any operator, defeating the purpose of concealment. This bug has since been fixed: Phase 2 now captures the real sensor baseline before enabling Sim and perturbs around that fixed value (±7 mm, the adversarial ε bound). With the fix, the expected concealment gap after 120 seconds is approximately 107 mm (HMI shows ~609 mm while the physical tank drains to ~502 mm at 0.9 mm/s). The operator would see a stable, normal-looking tank level while the real plant drains toward dry-run — true concealment per the Paper #31 design. Paradoxically, the corrected 107 mm concealment gap is more dangerous than the original 736 mm gap, because it is invisible to the operator.</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(before fix, feedback loop bug). After fix: ~107 mm (true concealment)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Write Race Remediation: Single-Shot Attack Mode</w:t>
      </w:r>
    </w:p>
    <w:p>
      <w:pPr>
        <w:spacing w:before="80" w:after="80" w:line="276"/>
      </w:pPr>
      <w:r>
        <w:rPr>
          <w:rFonts w:ascii="Arial" w:cs="Arial" w:eastAsia="Arial" w:hAnsi="Arial"/>
          <w:sz w:val="22"/>
          <w:szCs w:val="22"/>
        </w:rPr>
        <w:t xml:space="preserve">The write race observed in the 16 April demo arose because the attack script ran a continuous loop, re-injecting MV101=CLOSED every second for the full 120-second duration. This overpowered both the PLC’s own ladder logic and the recovery agent’s safe-state writes. However, the continuous injection loop is not the only viable attack model — and arguably not the most realistic one. A stealthy attacker operating under the compromised-insider threat model would prefer to write the malicious commands once, disable the PLC’s auto-control mode (Auto=False), and exit immediately. With auto-control disabled, the PLC’s ladder logic will not overwrite the injected command, so the attack persists without a continuous connection. This is stealthier because the attacker leaves no running process for the defender to detect or trace.</w:t>
      </w:r>
    </w:p>
    <w:p>
      <w:pPr>
        <w:spacing w:before="80" w:after="80" w:line="276"/>
      </w:pPr>
      <w:r>
        <w:rPr>
          <w:rFonts w:ascii="Arial" w:cs="Arial" w:eastAsia="Arial" w:hAnsi="Arial"/>
          <w:sz w:val="22"/>
          <w:szCs w:val="22"/>
        </w:rPr>
        <w:t xml:space="preserve">To validate recovery under this more realistic attack model, we implemented a single-shot mode (phase1_inject.py --once). The attack writes MV101.Auto=False, MV101.Cmd=1 (CLOSE), P101.Auto=False, P101.Cmd=2 (ON), and MV201.Auto=False, MV201.Cmd=2 (OPEN) once, confirms the commands were accepted, and exits. The run_demo.py orchestrator supports this via the --once flag: the attack fires, exits, the defence detects the resulting anomalous state, fusion triggers ALERT, and recovery writes the safe state with no competing writes. The recovery holds because no process is re-injecting malicious commands. This eliminates the write race entirely and produces clean, unambiguous measurements of detection time, fusion latency, and recovery duration.</w:t>
      </w:r>
    </w:p>
    <w:p>
      <w:pPr>
        <w:pStyle w:val="Heading2"/>
        <w:spacing w:before="240" w:after="80"/>
      </w:pPr>
      <w:r>
        <w:rPr>
          <w:rFonts w:ascii="Arial" w:cs="Arial" w:eastAsia="Arial" w:hAnsi="Arial"/>
          <w:b/>
          <w:bCs/>
          <w:color w:val="2E75B6"/>
          <w:sz w:val="26"/>
          <w:szCs w:val="26"/>
        </w:rPr>
        <w:t xml:space="preserve">Deployment Architecture: Separation of Attack Surface and Monitoring</w:t>
      </w:r>
    </w:p>
    <w:p>
      <w:pPr>
        <w:spacing w:before="80" w:after="80" w:line="276"/>
      </w:pPr>
      <w:r>
        <w:rPr>
          <w:rFonts w:ascii="Arial" w:cs="Arial" w:eastAsia="Arial" w:hAnsi="Arial"/>
          <w:sz w:val="22"/>
          <w:szCs w:val="22"/>
        </w:rPr>
        <w:t xml:space="preserve">The write race also highlights a fundamental architectural consideration for deploying CPS defence systems. Under the compromised-insider threat model, the attacker has shell access to the HMI. If the defence monitoring system runs on the same HMI, the attacker can kill the defence processes, modify the flag files, or disable the recovery script — the defence has no protection against a co-located attacker with the same OS privileges. Network-level containment (iptables) is also ineffective when both attack and defence originate from the same IP address.</w:t>
      </w:r>
    </w:p>
    <w:p>
      <w:pPr>
        <w:spacing w:before="80" w:after="80" w:line="276"/>
      </w:pPr>
      <w:r>
        <w:rPr>
          <w:rFonts w:ascii="Arial" w:cs="Arial" w:eastAsia="Arial" w:hAnsi="Arial"/>
          <w:sz w:val="22"/>
          <w:szCs w:val="22"/>
        </w:rPr>
        <w:t xml:space="preserve">In a production deployment, the defence monitoring system should run on a dedicated, hardened device physically separate from the HMI — for example, a standalone embedded device or an independent PLC reading tags in read-only mode on the OT network. This monitoring device would communicate alerts to the plant’s managed network switch via an out-of-band channel (serial connection, separate VLAN, or hardware relay) to enforce containment at the network layer. The attacker on the compromised HMI cannot reach or disable the monitoring device because it is a physically separate system with independent power, network interface, and operating system.</w:t>
      </w:r>
    </w:p>
    <w:p>
      <w:pPr>
        <w:spacing w:before="80" w:after="80" w:line="276"/>
      </w:pPr>
      <w:r>
        <w:rPr>
          <w:rFonts w:ascii="Arial" w:cs="Arial" w:eastAsia="Arial" w:hAnsi="Arial"/>
          <w:sz w:val="22"/>
          <w:szCs w:val="22"/>
        </w:rPr>
        <w:t xml:space="preserve">Notably, the detection layer itself — invariant checking and autoencoder monitoring — works correctly regardless of deployment architecture. Our live demo proved that invariants detect the attack within 1 cycle even when running on the same compromised HMI. The architectural challenge applies only to the containment and recovery steps, which require the ability to block the attacker’s network access before writing safe-state commands. The single-shot attack mode (--once) provides a practical workaround for lab environments where architectural separation is not feasible: the attacker exits before recovery runs, producing the same outcome as successful containment.</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sensor concealment (736 mm gap in live run due to feedback loop bug; ~107 mm expected after fix — invisible to the operator). Despite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P101=ON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sensor concealment: the live run showed a 736 mm gap due to a feedback loop bug (since fixed), while the corrected implementation produces a ~107 mm gap that is invisible to the operator — true concealment per Paper #31.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