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(ae_model.pt, threshold=0.000950)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AE produced 0 alarms (0.0% FPR). Mean MSE=0.000128, well below the 0.000950 threshold (7.4x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FIT101=0) triggered the AE in 81/100 windows (81% detection rate, mean MSE=0.006323).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(0% evasion)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attack detected within 1 cycle, fusion score=1.5 triggered ALERT, and recovery verified with 5 consecutive clean cycles.</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with the spoofed LIT101 value drifting from 609 mm to 1345 mm on the HMI while the physical tank was draining. This 736 mm concealment gap demonstrates the Paper #31 threat model: the operator display shows a rising tank while the real plant moves toward dry-run. Note: the spoofed value climbed beyond realistic bounds because Phase 2 reads the already-spoofed HMI_LIT101.Pv each cycle and applies an additive perturbation (~+7.3 mm/cycle), causing compounding drift. A refined implementation would anchor perturbations to the baseline value at attack start.</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(HMI: 1345 mm, physical: ~609 mm)</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functional sensor concealment (736 mm gap between spoofed and real LIT101). Despite complete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