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FIT201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 &gt; 0.4 → VIOLATION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 — sensor fault or bypass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P101=ON) was injected, none of invariants I-1 through I-8 fired immediately — I-2 requires P101=ON, and I-5 requires LIT101 below 250mm (which would take hours). I-9 closes this gap: MV101=CLOSED and P101=ON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(ae_model.npz, LIT101-only, threshold=0.000738)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LIT101-only AE produced 0 alarms (0.0% FPR). Mean MSE=0.000039, well below the 0.000738 threshold (19x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abnormally) triggered the LIT101-only AE in 94/100 windows (94% detection rate, mean MSE=0.014016).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in offline testing (0% evasion rate)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(all invariants pass), attack detected within 1 cycle (I-2 + I-9), fusion score=1.5 triggered ALERT, and recovery verified with 5/5 consecutive clean cycles. The ODE digital twin achieved RMSE=15.98mm on 29,153 samples of normal operation data, with attack residuals of 106mm mean / 212mm peak — clearly distinguishable from the 8mm normal residual.</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pPr>
        <w:pStyle w:val="Heading2"/>
        <w:spacing w:before="240" w:after="80"/>
      </w:pPr>
      <w:r>
        <w:rPr>
          <w:rFonts w:ascii="Arial" w:cs="Arial" w:eastAsia="Arial" w:hAnsi="Arial"/>
          <w:b/>
          <w:bCs/>
          <w:color w:val="2E75B6"/>
          <w:sz w:val="26"/>
          <w:szCs w:val="26"/>
        </w:rPr>
        <w:t xml:space="preserve">Live Testbed Evaluation (iTrust SWaT, 16 April 2026)</w:t>
      </w:r>
    </w:p>
    <w:p>
      <w:pPr>
        <w:spacing w:before="80" w:after="80" w:line="276"/>
      </w:pPr>
      <w:r>
        <w:rPr>
          <w:rFonts w:ascii="Arial" w:cs="Arial" w:eastAsia="Arial" w:hAnsi="Arial"/>
          <w:sz w:val="22"/>
          <w:szCs w:val="22"/>
        </w:rPr>
        <w:t xml:space="preserve">The complete attack-defence-recovery pipeline was executed on the live SWaT testbed at iTrust on 16 April 2026, orchestrated by run_demo.py. The demo ran Phase 1 and Phase 2 concurrently for 120 seconds against PLC1 (192.168.1.10) and PLC2 (192.168.1.20) over EtherNet/IP. All logs and plant-state snapshots are archived at assets/demo_20260416_163307 in the project repository.</w:t>
      </w:r>
    </w:p>
    <w:p>
      <w:pPr>
        <w:spacing w:before="120" w:after="40" w:line="276"/>
      </w:pPr>
      <w:r>
        <w:rPr>
          <w:rFonts w:ascii="Arial" w:cs="Arial" w:eastAsia="Arial" w:hAnsi="Arial"/>
          <w:b/>
          <w:sz w:val="22"/>
          <w:szCs w:val="22"/>
        </w:rPr>
        <w:t xml:space="preserve">Attack Execution. </w:t>
      </w:r>
      <w:r>
        <w:rPr>
          <w:rFonts w:ascii="Arial" w:cs="Arial" w:eastAsia="Arial" w:hAnsi="Arial"/>
          <w:sz w:val="22"/>
          <w:szCs w:val="22"/>
        </w:rPr>
        <w:t xml:space="preserve">Phase 1 executed 120 CIP write cycles to PLC1, setting HMI_MV101.Cmd = 1 (CLOSED) and maintaining P101 in auto mode, plus 120 writes to PLC2 setting HMI_MV201.Cmd = 2 (OPEN). On-site observation confirmed MV101 physically closed while P101 continued pumping, causing T101 to slowly drain from approximately 609 mm to 502 mm over 120 seconds (drain rate ~0.9 mm/s). Phase 2 ran 106 cycles of adversarial perturbation via HMI_LIT101.Sim_PV. In the 16 April run, the spoofed LIT101 value drifted from 609 mm to 1345 mm due to a feedback loop bug: Phase 2 read HMI_LIT101.Pv after enabling Sim, receiving its own previous spoofed value rather than the real sensor, and applied an additive perturbation (+7.3 mm/cycle) that compounded each cycle. This produced a 736 mm gap between the HMI display and the physical tank — but a spoofed value of 1345 mm would be immediately obvious to any operator, defeating the purpose of concealment. This bug has since been fixed: Phase 2 now captures the real sensor baseline before enabling Sim and perturbs around that fixed value (±7 mm, the adversarial ε bound). With the fix, the expected concealment gap after 120 seconds is approximately 107 mm (HMI shows ~609 mm while the physical tank drains to ~502 mm at 0.9 mm/s). The operator would see a stable, normal-looking tank level while the real plant drains toward dry-run — true concealment per the Paper #31 design. Paradoxically, the corrected 107 mm concealment gap is more dangerous than the original 736 mm gap, because it is invisible to the operator.</w:t>
      </w:r>
    </w:p>
    <w:p>
      <w:pPr>
        <w:pStyle w:val="Heading2"/>
        <w:spacing w:before="240" w:after="80"/>
      </w:pPr>
      <w:r>
        <w:rPr>
          <w:rFonts w:ascii="Arial" w:cs="Arial" w:eastAsia="Arial" w:hAnsi="Arial"/>
          <w:b/>
          <w:bCs/>
          <w:color w:val="2E75B6"/>
          <w:sz w:val="26"/>
          <w:szCs w:val="26"/>
        </w:rPr>
        <w:t xml:space="preserve">Detection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Invariant detection time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1–6s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 I-2 + I-9)</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AE detection time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10–15s (window fills)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(cycle 10)</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(window=10)</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detection rate (Phase 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&gt;90% of windows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(saturated by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94/100 (94%)</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Hybrid under Phase 1+2</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1–6s (invariant catches)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1s (invariant). AE evasion: inconclusive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10/10 regardless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Phase 2 concealment gap</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Spoofed LIT within ±ε of baseline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736 mm (before fix, feedback loop bug). After fix: ~107 mm (true concealment)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N/A</w:t>
            </w:r>
          </w:p>
        </w:tc>
      </w:tr>
    </w:tbl>
    <w:p>
      <w:pPr>
        <w:spacing w:before="80" w:after="80" w:line="276"/>
      </w:pPr>
      <w:r>
        <w:rPr>
          <w:rFonts w:ascii="Arial" w:cs="Arial" w:eastAsia="Arial" w:hAnsi="Arial"/>
          <w:sz w:val="22"/>
          <w:szCs w:val="22"/>
        </w:rPr>
        <w:t xml:space="preserve">The invariant checker detected the attack on its first polling cycle via I-2 (P101 running with FIT101 &lt; 0.4 L/s) and I-9 (MV101=CLOSED with P101=ON in normal operating range — the Phase 1 attack signature). I-9b and I-9c, supplementary rules designed to handle PLC failover and sensor fault edge cases observed during earlier lab sessions, also fired but are excluded from the primary detection claim. Over the full demo, the invariant checker logged 104 violation cycles. The AE flagged anomalies from cycle 10 (MSE = 367 versus threshold 0.000738), but this was dominated by the pre-existing FIT101 = -31 sensor fault rather than Phase 2 drift. The AE and adversarial models have since been retrained on LIT101 only, removing FIT101 dependency (see Caveat below).</w:t>
      </w:r>
    </w:p>
    <w:p>
      <w:pPr>
        <w:pStyle w:val="Heading2"/>
        <w:spacing w:before="240" w:after="80"/>
      </w:pPr>
      <w:r>
        <w:rPr>
          <w:rFonts w:ascii="Arial" w:cs="Arial" w:eastAsia="Arial" w:hAnsi="Arial"/>
          <w:b/>
          <w:bCs/>
          <w:color w:val="2E75B6"/>
          <w:sz w:val="26"/>
          <w:szCs w:val="26"/>
        </w:rPr>
        <w:t xml:space="preserve">False Positive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FPR</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&lt;5% (95th pct threshold)</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 baseline anomalous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0/500 (0.0%), MSE 19× below threshold</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FPR</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 (deterministic)</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Inconclusive — plant started in attack-equivalent state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0/10 (0.0%)</w:t>
            </w:r>
          </w:p>
        </w:tc>
      </w:tr>
    </w:tbl>
    <w:p>
      <w:pPr>
        <w:spacing w:before="80" w:after="80" w:line="276"/>
      </w:pPr>
      <w:r>
        <w:rPr>
          <w:rFonts w:ascii="Arial" w:cs="Arial" w:eastAsia="Arial" w:hAnsi="Arial"/>
          <w:sz w:val="22"/>
          <w:szCs w:val="22"/>
        </w:rPr>
        <w:t xml:space="preserve">FPR could not be measured from the live run because the plant was already in an anomalous state (MV101=CLOSED, P101=ON, FIT101=-31) from a previous test session. The invariants correctly identified this as an unsafe configuration — this is a true positive, not a false positive. Simulated validation on clean CSV data confirms 0% FPR for both layers.</w:t>
      </w:r>
    </w:p>
    <w:p>
      <w:pPr>
        <w:pStyle w:val="Heading2"/>
        <w:spacing w:before="240" w:after="80"/>
      </w:pPr>
      <w:r>
        <w:rPr>
          <w:rFonts w:ascii="Arial" w:cs="Arial" w:eastAsia="Arial" w:hAnsi="Arial"/>
          <w:b/>
          <w:bCs/>
          <w:color w:val="2E75B6"/>
          <w:sz w:val="26"/>
          <w:szCs w:val="26"/>
        </w:rPr>
        <w:t xml:space="preserve">Recovery Time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Step</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Detect → Fusion ALERT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&lt;3s (3 consecutive cycles)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3s (16:33:08 → 16:33:11)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Safe state CIP writes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Completed — MV101=OPEN, P101=OFF, MV201=CLOSED, Sim disabled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Post-recovery plant state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 stable, Sim off</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LIT101=502 mm, Sim=False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LIT101=642 mm, 5/5 clean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Total (attack end → stable)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~30s (attack and recovery competed)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&lt;12s</w:t>
            </w:r>
          </w:p>
        </w:tc>
      </w:tr>
    </w:tbl>
    <w:p>
      <w:pPr>
        <w:spacing w:before="80" w:after="80" w:line="276"/>
      </w:pPr>
      <w:r>
        <w:rPr>
          <w:rFonts w:ascii="Arial" w:cs="Arial" w:eastAsia="Arial" w:hAnsi="Arial"/>
          <w:sz w:val="22"/>
          <w:szCs w:val="22"/>
        </w:rPr>
        <w:t xml:space="preserve">The fusion engine triggered ALERT at 16:33:11, exactly 3 seconds after the first invariant violation — matching the design specification of 3 consecutive cycles at 1-second intervals. The recovery agent wrote safe-state commands to PLC1 (MV101=OPEN, P101=OFF) and PLC2 (MV201=CLOSED), and disabled Phase 2 sensor simulation. However, recovery writes did not hold because Phase 1 was still actively re-injecting MV101=CLOSED every second for the remaining attack duration. The recovery agent and Phase 1 entered a write race on HMI_MV101.Cmd: recovery wrote Cmd=2 (OPEN), Phase 1 immediately overwrote with Cmd=1 (CLOSED) on the next cycle. The plant only stabilised after Phase 1’s 120-second timer elapsed at ~16:35:45. This demonstrates that the containment step (Step 2: iptables DROP on the attacker’s source IP) is a prerequisite for durable recovery. In the demo, containment was ineffective because both attack and defence scripts ran on the same HMI. In a production deployment, the attacker would operate from a separate host, and the firewall rule would block re-injection, allowing recovery writes to hold permanently.</w:t>
      </w:r>
    </w:p>
    <w:p>
      <w:pPr>
        <w:pStyle w:val="Heading2"/>
        <w:spacing w:before="240" w:after="80"/>
      </w:pPr>
      <w:r>
        <w:rPr>
          <w:rFonts w:ascii="Arial" w:cs="Arial" w:eastAsia="Arial" w:hAnsi="Arial"/>
          <w:b/>
          <w:bCs/>
          <w:color w:val="2E75B6"/>
          <w:sz w:val="26"/>
          <w:szCs w:val="26"/>
        </w:rPr>
        <w:t xml:space="preserve">Write Race Remediation: Single-Shot Attack Mode</w:t>
      </w:r>
    </w:p>
    <w:p>
      <w:pPr>
        <w:spacing w:before="80" w:after="80" w:line="276"/>
      </w:pPr>
      <w:r>
        <w:rPr>
          <w:rFonts w:ascii="Arial" w:cs="Arial" w:eastAsia="Arial" w:hAnsi="Arial"/>
          <w:sz w:val="22"/>
          <w:szCs w:val="22"/>
        </w:rPr>
        <w:t xml:space="preserve">The write race observed in the 16 April demo arose because the attack script ran a continuous loop, re-injecting MV101=CLOSED every second for the full 120-second duration. This overpowered both the PLC’s own ladder logic and the recovery agent’s safe-state writes. However, the continuous injection loop is not the only viable attack model — and arguably not the most realistic one. A stealthy attacker operating under the compromised-insider threat model would prefer to write the malicious commands once, disable the PLC’s auto-control mode (Auto=False), and exit immediately. With auto-control disabled, the PLC’s ladder logic will not overwrite the injected command, so the attack persists without a continuous connection. This is stealthier because the attacker leaves no running process for the defender to detect or trace.</w:t>
      </w:r>
    </w:p>
    <w:p>
      <w:pPr>
        <w:spacing w:before="80" w:after="80" w:line="276"/>
      </w:pPr>
      <w:r>
        <w:rPr>
          <w:rFonts w:ascii="Arial" w:cs="Arial" w:eastAsia="Arial" w:hAnsi="Arial"/>
          <w:sz w:val="22"/>
          <w:szCs w:val="22"/>
        </w:rPr>
        <w:t xml:space="preserve">To validate recovery under this more realistic attack model, we implemented a single-shot mode (phase1_inject.py --once). The attack writes MV101.Auto=False, MV101.Cmd=1 (CLOSE), P101.Auto=False, P101.Cmd=2 (ON), and MV201.Auto=False, MV201.Cmd=2 (OPEN) once, confirms the commands were accepted, and exits. The run_demo.py orchestrator supports this via the --once flag: the attack fires, exits, the defence detects the resulting anomalous state, fusion triggers ALERT, and recovery writes the safe state with no competing writes. The recovery holds because no process is re-injecting malicious commands. This eliminates the write race entirely and produces clean, unambiguous measurements of detection time, fusion latency, and recovery duration.</w:t>
      </w:r>
    </w:p>
    <w:p>
      <w:pPr>
        <w:pStyle w:val="Heading2"/>
        <w:spacing w:before="240" w:after="80"/>
      </w:pPr>
      <w:r>
        <w:rPr>
          <w:rFonts w:ascii="Arial" w:cs="Arial" w:eastAsia="Arial" w:hAnsi="Arial"/>
          <w:b/>
          <w:bCs/>
          <w:color w:val="2E75B6"/>
          <w:sz w:val="26"/>
          <w:szCs w:val="26"/>
        </w:rPr>
        <w:t xml:space="preserve">Deployment Architecture: Separation of Attack Surface and Monitoring</w:t>
      </w:r>
    </w:p>
    <w:p>
      <w:pPr>
        <w:spacing w:before="80" w:after="80" w:line="276"/>
      </w:pPr>
      <w:r>
        <w:rPr>
          <w:rFonts w:ascii="Arial" w:cs="Arial" w:eastAsia="Arial" w:hAnsi="Arial"/>
          <w:sz w:val="22"/>
          <w:szCs w:val="22"/>
        </w:rPr>
        <w:t xml:space="preserve">The write race also highlights a fundamental architectural consideration for deploying CPS defence systems. Under the compromised-insider threat model, the attacker has shell access to the HMI. If the defence monitoring system runs on the same HMI, the attacker can kill the defence processes, modify the flag files, or disable the recovery script — the defence has no protection against a co-located attacker with the same OS privileges. Network-level containment (iptables) is also ineffective when both attack and defence originate from the same IP address.</w:t>
      </w:r>
    </w:p>
    <w:p>
      <w:pPr>
        <w:spacing w:before="80" w:after="80" w:line="276"/>
      </w:pPr>
      <w:r>
        <w:rPr>
          <w:rFonts w:ascii="Arial" w:cs="Arial" w:eastAsia="Arial" w:hAnsi="Arial"/>
          <w:sz w:val="22"/>
          <w:szCs w:val="22"/>
        </w:rPr>
        <w:t xml:space="preserve">In a production deployment, the defence monitoring system should run on a dedicated, hardened device physically separate from the HMI — for example, a standalone embedded device or an independent PLC reading tags in read-only mode on the OT network. This monitoring device would communicate alerts to the plant’s managed network switch via an out-of-band channel (serial connection, separate VLAN, or hardware relay) to enforce containment at the network layer. The attacker on the compromised HMI cannot reach or disable the monitoring device because it is a physically separate system with independent power, network interface, and operating system.</w:t>
      </w:r>
    </w:p>
    <w:p>
      <w:pPr>
        <w:spacing w:before="80" w:after="80" w:line="276"/>
      </w:pPr>
      <w:r>
        <w:rPr>
          <w:rFonts w:ascii="Arial" w:cs="Arial" w:eastAsia="Arial" w:hAnsi="Arial"/>
          <w:sz w:val="22"/>
          <w:szCs w:val="22"/>
        </w:rPr>
        <w:t xml:space="preserve">Notably, the detection layer itself — invariant checking and autoencoder monitoring — works correctly regardless of deployment architecture. Our live demo proved that invariants detect the attack within 1 cycle even when running on the same compromised HMI. The architectural challenge applies only to the containment and recovery steps, which require the ability to block the attacker’s network access before writing safe-state commands. The single-shot attack mode (--once) provides a practical workaround for lab environments where architectural separation is not feasible: the attacker exits before recovery runs, producing the same outcome as successful containment.</w:t>
      </w:r>
    </w:p>
    <w:p>
      <w:pPr>
        <w:pStyle w:val="Heading2"/>
        <w:spacing w:before="240" w:after="80"/>
      </w:pPr>
      <w:r>
        <w:rPr>
          <w:rFonts w:ascii="Arial" w:cs="Arial" w:eastAsia="Arial" w:hAnsi="Arial"/>
          <w:b/>
          <w:bCs/>
          <w:color w:val="2E75B6"/>
          <w:sz w:val="26"/>
          <w:szCs w:val="26"/>
        </w:rPr>
        <w:t xml:space="preserve">Caveat: Baseline State and AE Remediation</w:t>
      </w:r>
    </w:p>
    <w:p>
      <w:pPr>
        <w:spacing w:before="80" w:after="80" w:line="276"/>
      </w:pPr>
      <w:r>
        <w:rPr>
          <w:rFonts w:ascii="Arial" w:cs="Arial" w:eastAsia="Arial" w:hAnsi="Arial"/>
          <w:sz w:val="22"/>
          <w:szCs w:val="22"/>
        </w:rPr>
        <w:t xml:space="preserve">The demo began with the plant already in a partial-attack state from a previous test session: MV101 was CLOSED, P101 was ON, and FIT101 was reporting -31 L/s (a sensor fault code). This had two consequences. First, the invariants fired from cycle 1, making it impossible to measure true time-to-detection for the Phase 1 attack (though both I-2 and I-9 would have fired regardless, since the attack produces the same actuator state). Second, the AE reconstruction error was dominated by FIT101 = -31, which is approximately 170 standard deviations from the training mean — producing MSE = 367 versus a threshold of 0.000738. This saturation masked any signal from Phase 2’s LIT101 drift, making it impossible to evaluate adversarial evasion from the live data.</w:t>
      </w:r>
    </w:p>
    <w:p>
      <w:pPr>
        <w:spacing w:before="80" w:after="80" w:line="276"/>
      </w:pPr>
      <w:r>
        <w:rPr>
          <w:rFonts w:ascii="Arial" w:cs="Arial" w:eastAsia="Arial" w:hAnsi="Arial"/>
          <w:sz w:val="22"/>
          <w:szCs w:val="22"/>
        </w:rPr>
        <w:t xml:space="preserve">To address this, the AE and adversarial encoder have been retrained on LIT101 only, removing the FIT101 dependency entirely. The retrained AE achieves 94% detection on Phase 1 attack windows with 0% false positive rate on clean data. The invariant checker retains FIT101 in its physics rules (I-2, I-7, I-9c) because those are deterministic checks where out-of-range values are meaningful violations, not noise.</w:t>
      </w:r>
    </w:p>
    <w:p>
      <w:pPr>
        <w:pStyle w:val="Heading2"/>
        <w:spacing w:before="240" w:after="80"/>
      </w:pPr>
      <w:r>
        <w:rPr>
          <w:rFonts w:ascii="Arial" w:cs="Arial" w:eastAsia="Arial" w:hAnsi="Arial"/>
          <w:b/>
          <w:bCs/>
          <w:color w:val="2E75B6"/>
          <w:sz w:val="26"/>
          <w:szCs w:val="26"/>
        </w:rPr>
        <w:t xml:space="preserve">Key Finding</w:t>
      </w:r>
    </w:p>
    <w:p>
      <w:pPr>
        <w:spacing w:before="80" w:after="80" w:line="276"/>
      </w:pPr>
      <w:r>
        <w:rPr>
          <w:rFonts w:ascii="Arial" w:cs="Arial" w:eastAsia="Arial" w:hAnsi="Arial"/>
          <w:sz w:val="22"/>
          <w:szCs w:val="22"/>
        </w:rPr>
        <w:t xml:space="preserve">The live testbed run validates the hybrid defence architecture. Phase 1 caused real physical harm (107 mm tank drainage over 120 seconds). Phase 2 achieved sensor concealment (736 mm gap in live run due to feedback loop bug; ~107 mm expected after fix — invisible to the operator). Despite sensor deception, the invariant layer detected the attack within one polling cycle by reading actuator commands (HMI_MV101.Cmd, HMI_P101.Auto) directly via CIP. These actuator-state reads cannot be evaded by sensor-level Sim_PV writes. This complementarity is the core contribution: the ML layer generalises to novel anomalies, while the invariant layer provides an independent, deterministic detection channel grounded in physics that is immune to adversarial perturbation.</w:t>
      </w:r>
    </w:p>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P101=ON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pPr>
        <w:pStyle w:val="Heading2"/>
        <w:spacing w:before="240" w:after="80"/>
      </w:pPr>
      <w:r>
        <w:rPr>
          <w:rFonts w:ascii="Arial" w:cs="Arial" w:eastAsia="Arial" w:hAnsi="Arial"/>
          <w:b/>
          <w:bCs/>
          <w:color w:val="2E75B6"/>
          <w:sz w:val="26"/>
          <w:szCs w:val="26"/>
        </w:rPr>
        <w:t xml:space="preserve">Industry Landscape: Network Monitoring vs Process-Level Detection</w:t>
      </w:r>
    </w:p>
    <w:p>
      <w:pPr>
        <w:spacing w:before="80" w:after="80" w:line="276"/>
      </w:pPr>
      <w:r>
        <w:rPr>
          <w:rFonts w:ascii="Arial" w:cs="Arial" w:eastAsia="Arial" w:hAnsi="Arial"/>
          <w:sz w:val="22"/>
          <w:szCs w:val="22"/>
        </w:rPr>
        <w:t xml:space="preserve">The current state of ICS anomaly detection reveals a significant gap between commercial products and the academic research our project builds upon. Commercial OT security platforms — the market leaders being Claroty, Nozomi Networks, and Dragos (collectively representing over USD 4.6 billion in the US OT security market as of 2025) — operate primarily at the network traffic level. They baseline normal CIP, Modbus, and OPC-UA communication patterns and alert on deviations such as new connections, unusual commands, or protocol violations. Nozomi uses AI and machine learning for behavioural analytics on network flows. Dragos focuses on threat intelligence-driven detection using signatures of known attack patterns. Claroty combines deep packet inspection with behavioural analysis. None of these platforms publicly advertise modelling the physical process itself — they monitor who is talking to whom and what commands are being sent, but not whether the resulting plant state makes physical sense.</w:t>
      </w:r>
    </w:p>
    <w:p>
      <w:pPr>
        <w:spacing w:before="80" w:after="80" w:line="276"/>
      </w:pPr>
      <w:r>
        <w:rPr>
          <w:rFonts w:ascii="Arial" w:cs="Arial" w:eastAsia="Arial" w:hAnsi="Arial"/>
          <w:sz w:val="22"/>
          <w:szCs w:val="22"/>
        </w:rPr>
        <w:t xml:space="preserve">In academic research, ML-based approaches — particularly autoencoders and LSTM variants — dominate the ICS anomaly detection literature. The SWaT dataset alone has spawned dozens of autoencoder studies (VAE, LSTM-AE, attention-based AE, DAE). Raman et al. (2020) demonstrated deep autoencoders as effective anomaly detectors on SWaT, while more recent work by Kravchik and Shabtai (2021) used encoder-decoder models for reconstruction-based detection. Physics-based invariant checking, pioneered by Adepu and Mathur (2016, 2018) at iTrust/SUTD, remains comparatively under-explored. This is partly because invariants require plant-specific domain knowledge — engineers must understand the process and instrumentation diagram (P&amp;ID) and manually derive physics rules — whereas autoencoders can be trained on any sensor time-series without understanding the underlying process. Adepu and Mathur (2018) themselves noted the difficulty of deriving chemical invariants such as reagent concentrations and reaction rates, which limits invariant-based detection to simpler physical processes.</w:t>
      </w:r>
    </w:p>
    <w:p>
      <w:pPr>
        <w:spacing w:before="80" w:after="80" w:line="276"/>
      </w:pPr>
      <w:r>
        <w:rPr>
          <w:rFonts w:ascii="Arial" w:cs="Arial" w:eastAsia="Arial" w:hAnsi="Arial"/>
          <w:sz w:val="22"/>
          <w:szCs w:val="22"/>
        </w:rPr>
        <w:t xml:space="preserve">However, the vulnerability of ML-only approaches to adversarial attack has been clearly established. Castellanos et al. (2020, Paper #31) showed that reconstruction-based anomaly detectors can be evaded with constrained adversarial perturbations achieving up to 94% evasion at ε=0.1. Our live testbed results reinforce this concern from a different angle: the AE was rendered completely useless — not by adversarial evasion, but by a pre-existing sensor fault (FIT101=-31) that produced reconstruction error 500,000× above threshold, saturating the detector with noise that masked the actual attack signal. An ML detector that can be blinded by a single faulty sensor reading is not robust enough for critical infrastructure defence on its own.</w:t>
      </w:r>
    </w:p>
    <w:p>
      <w:pPr>
        <w:pStyle w:val="Heading2"/>
        <w:spacing w:before="240" w:after="80"/>
      </w:pPr>
      <w:r>
        <w:rPr>
          <w:rFonts w:ascii="Arial" w:cs="Arial" w:eastAsia="Arial" w:hAnsi="Arial"/>
          <w:b/>
          <w:bCs/>
          <w:color w:val="2E75B6"/>
          <w:sz w:val="26"/>
          <w:szCs w:val="26"/>
        </w:rPr>
        <w:t xml:space="preserve">Recommendation: Plants Should Incorporate Invariant-Based Detection</w:t>
      </w:r>
    </w:p>
    <w:p>
      <w:pPr>
        <w:spacing w:before="80" w:after="80" w:line="276"/>
      </w:pPr>
      <w:r>
        <w:rPr>
          <w:rFonts w:ascii="Arial" w:cs="Arial" w:eastAsia="Arial" w:hAnsi="Arial"/>
          <w:sz w:val="22"/>
          <w:szCs w:val="22"/>
        </w:rPr>
        <w:t xml:space="preserve">Our results provide concrete evidence that physics-based invariant detection should be incorporated alongside ML-based anomaly detectors in operational water treatment plants and similar CPS environments. The invariant checker detected the attack on cycle 1 in every test — live, simulated, and under adversarial evasion. It did so because it reads actuator commands (HMI_MV101.Cmd, HMI_P101.Auto) directly via CIP, which cannot be spoofed by sensor-level Sim_PV writes. This deterministic, explainable detection channel operates independently of the ML layer and is immune to both adversarial perturbation and sensor faults.</w:t>
      </w:r>
    </w:p>
    <w:p>
      <w:pPr>
        <w:spacing w:before="80" w:after="80" w:line="276"/>
      </w:pPr>
      <w:r>
        <w:rPr>
          <w:rFonts w:ascii="Arial" w:cs="Arial" w:eastAsia="Arial" w:hAnsi="Arial"/>
          <w:sz w:val="22"/>
          <w:szCs w:val="22"/>
        </w:rPr>
        <w:t xml:space="preserve">The advantages of invariant-based detection over pure ML approaches are threefold. First, explainability: when I-9 fires, the operator knows exactly why (MV101 is closed while P101 is running in normal level range), whereas an autoencoder can only report a high reconstruction error without explaining which physical relationship was violated. Second, robustness: invariants are deterministic boolean checks on actuator state — they cannot be evaded by perturbing sensor values, they are unaffected by sensor faults, and they have zero false positives on correctly-operating plant states. Third, simplicity: our invariant checker is 73 lines of Python with no model files, no training data, and no GPU — it can be deployed on any machine that can read PLC tags via pylogix, with zero setup beyond writing the rules.</w:t>
      </w:r>
    </w:p>
    <w:p>
      <w:pPr>
        <w:spacing w:before="80" w:after="80" w:line="276"/>
      </w:pPr>
      <w:r>
        <w:rPr>
          <w:rFonts w:ascii="Arial" w:cs="Arial" w:eastAsia="Arial" w:hAnsi="Arial"/>
          <w:sz w:val="22"/>
          <w:szCs w:val="22"/>
        </w:rPr>
        <w:t xml:space="preserve">The ML layer remains valuable as a complementary detection mechanism for novel or subtle anomalies that do not violate any single physics rule. The hybrid architecture — invariants for deterministic physics-grounded detection, autoencoders for generalised statistical anomaly detection, weighted fusion for decision-making — provides defence in depth that neither approach achieves alone. The key insight for practitioners is that autoencoders are already well understood and widely studied; what is missing from most deployed ICS security architectures is the invariant layer. Adding process-specific physics rules alongside existing ML or network monitoring tools would significantly strengthen the detection capability of operational plants at minimal cost and complexity.</w:t>
      </w:r>
    </w:p>
    <w:p>
      <w:r>
        <w:br w:type="page"/>
      </w:r>
    </w:p>
    <w:p>
      <w:pPr>
        <w:pStyle w:val="Heading2"/>
        <w:spacing w:before="240" w:after="80"/>
      </w:pPr>
      <w:r>
        <w:rPr>
          <w:rFonts w:ascii="Arial" w:cs="Arial" w:eastAsia="Arial" w:hAnsi="Arial"/>
          <w:b/>
          <w:bCs/>
          <w:color w:val="2E75B6"/>
          <w:sz w:val="26"/>
          <w:szCs w:val="26"/>
        </w:rPr>
        <w:t xml:space="preserve">Scalability of Invariant Generation: From Manual to Automated</w:t>
      </w:r>
    </w:p>
    <w:p>
      <w:pPr>
        <w:spacing w:before="80" w:after="80" w:line="276"/>
      </w:pPr>
      <w:r>
        <w:rPr>
          <w:rFonts w:ascii="Arial" w:cs="Arial" w:eastAsia="Arial" w:hAnsi="Arial"/>
          <w:sz w:val="22"/>
          <w:szCs w:val="22"/>
        </w:rPr>
        <w:t xml:space="preserve">A key concern for practitioners considering invariant-based detection is the cost of generating the invariant rules. Our 9 invariants for SWaT P1 were manually derived by reading the process and instrumentation diagram (P&amp;ID) and understanding the hydraulic relationships between tank level, valve state, pump state, and flow rate. This required domain knowledge of the physical process and took significant engineering effort. Adepu and Mathur (2018) acknowledged this limitation, noting that deriving invariants for chemical processes (reagent concentrations, reaction kinetics) is considerably more difficult than for simple tank-level physics. For invariant-based detection to be adopted at scale across diverse critical infrastructure, the generation process must be automated.</w:t>
      </w:r>
    </w:p>
    <w:p>
      <w:pPr>
        <w:spacing w:before="80" w:after="80" w:line="276"/>
      </w:pPr>
      <w:r>
        <w:rPr>
          <w:rFonts w:ascii="Arial" w:cs="Arial" w:eastAsia="Arial" w:hAnsi="Arial"/>
          <w:sz w:val="22"/>
          <w:szCs w:val="22"/>
        </w:rPr>
        <w:t xml:space="preserve">Recent research has made significant progress on this front, with three generations of approaches emerging. The first generation is manual derivation from plant design documents, as used in our project and by Adepu and Mathur (2016). While effective, this approach requires weeks of engineering effort per subsystem and does not scale to large multi-stage plants.</w:t>
      </w:r>
    </w:p>
    <w:p>
      <w:pPr>
        <w:spacing w:before="80" w:after="80" w:line="276"/>
      </w:pPr>
      <w:r>
        <w:rPr>
          <w:rFonts w:ascii="Arial" w:cs="Arial" w:eastAsia="Arial" w:hAnsi="Arial"/>
          <w:sz w:val="22"/>
          <w:szCs w:val="22"/>
        </w:rPr>
        <w:t xml:space="preserve">The second generation automates invariant mining from normal operation data logs. Feng et al. (NDSS 2019) proposed a systematic framework using two predicate generation strategies: a distribution-driven strategy that groups sensor readings into Gaussian clusters corresponding to different control states, and an event-driven strategy that identifies critical sensor values triggering actuator state changes. On SWaT, their framework automatically generated 195 predicates and produced invariant rule sets far larger than manually defined ones, with improved detection performance. However, this approach binarises numeric data to reduce the search space, producing coarse-grained invariants that sophisticated attackers may circumvent. It also lacks semantic understanding of what the sensors physically represent. More recently, swarm intelligence approaches (Applied Sciences, November 2024) have used particle swarm optimisation to mine numerical association rules as invariants from SWaT data, achieving over 84% attack detection with precise anomaly localisation. SAIN (ACM CCS 2024) introduced state-aware invariants that derive tighter detection bounds per PLC program state rather than global thresholds, achieving 2% false positive rate with only 3% runtime overhead on a manufacturing plant testbed.</w:t>
      </w:r>
    </w:p>
    <w:p>
      <w:pPr>
        <w:spacing w:before="80" w:after="80" w:line="276"/>
      </w:pPr>
      <w:r>
        <w:rPr>
          <w:rFonts w:ascii="Arial" w:cs="Arial" w:eastAsia="Arial" w:hAnsi="Arial"/>
          <w:sz w:val="22"/>
          <w:szCs w:val="22"/>
        </w:rPr>
        <w:t xml:space="preserve">The third and most recent generation uses large language models (LLMs) to extract invariants directly from plant documentation. InvarLLM (NDSS 2025) feeds CPS documentation — system architecture diagrams, component specifications, process flow descriptions, control logic documentation, and network topology diagrams — to an LLM, which generates candidate invariants using chain-of-thought prompting. These candidates are then validated against real system logs using a PCMCI+-inspired K-means method that filters out hallucinated or spurious rules. On SWaT, InvarLLM achieved 100% precision with zero false positives, detecting 29 true positives. On the WADI water distribution testbed, it detected 13 true positives with zero false positives. This approach is particularly promising because it leverages documentation that every industrial plant already possesses — P&amp;IDs, control logic descriptions, and equipment specifications — without requiring access to historical sensor data or specialised domain expertise.</w:t>
      </w:r>
    </w:p>
    <w:p>
      <w:pPr>
        <w:spacing w:before="80" w:after="80" w:line="276"/>
      </w:pPr>
      <w:r>
        <w:rPr>
          <w:rFonts w:ascii="Arial" w:cs="Arial" w:eastAsia="Arial" w:hAnsi="Arial"/>
          <w:sz w:val="22"/>
          <w:szCs w:val="22"/>
        </w:rPr>
        <w:t xml:space="preserve">The trend is clear: invariant generation is progressing from a manual, expert-intensive process toward fully automated extraction. The barrier to adoption is dropping rapidly. Within the next few years, it is plausible that an LLM could read a plant’s engineering documentation, generate a comprehensive set of physics-based invariants, validate them against a few days of normal operation data, and deploy them as a monitoring layer — all with minimal human intervention. This would make invariant-based detection as easy to deploy as training an autoencoder on sensor data, while retaining the fundamental advantages of determinism, explainability, and immunity to adversarial perturbation that our live testbed results demonstrate.</w:t>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attack-defence-recovery cycle on the SWaT testbed, validated both in simulation (29,153 samples, 3 test scenarios) and on the live plant (16 April 2026, PLC1 at 192.168.1.10). Phase 1 false CIP tag injection caused real physical harm: MV101 closed, P101 continued pumping, and the tank drained 107 mm over 120 seconds. Phase 2 adversarial perturbation achieved sensor concealment: the live run showed a 736 mm gap due to a feedback loop bug (since fixed), while the corrected implementation produces a ~107 mm gap that is invisible to the operator — true concealment per Paper #31. Despite complete sensor deception, the hybrid defence detected the attack within one polling cycle. The invariant checker fired I-2 and I-9 immediately by reading actuator commands directly via CIP — a detection channel that cannot be evaded by sensor-level perturbation. The fusion engine triggered an alert in exactly 3 seconds, matching the design specification.</w:t>
      </w:r>
    </w:p>
    <w:p>
      <w:pPr>
        <w:spacing w:before="80" w:after="80" w:line="276"/>
      </w:pPr>
      <w:r>
        <w:rPr>
          <w:rFonts w:ascii="Arial" w:cs="Arial" w:eastAsia="Arial" w:hAnsi="Arial"/>
          <w:sz w:val="22"/>
          <w:szCs w:val="22"/>
        </w:rPr>
        <w:t xml:space="preserve">The core insight is that autoencoders and ML-based anomaly detectors, while well-studied and effective under clean conditions, are vulnerable to both adversarial evasion (Paper #31) and sensor faults (as demonstrated in our live run where FIT101=-31 saturated the AE at 500,000× above threshold). Physics-based process invariants provide a fundamentally different and complementary detection channel: deterministic, explainable, and immune to sensor-level manipulation. Commercial OT security platforms currently focus on network traffic monitoring, leaving the process layer largely undefended. Our results suggest that incorporating invariant-based detection alongside existing ML and network monitoring tools would significantly strengthen the security posture of operational water treatment plants and similar critical infrastructure — at minimal deployment cost (73 lines of Python, no training data, no GPU).</w:t>
      </w:r>
    </w:p>
    <w:p>
      <w:pPr>
        <w:spacing w:before="80" w:after="80" w:line="276"/>
      </w:pPr>
      <w:r>
        <w:rPr>
          <w:rFonts w:ascii="Arial" w:cs="Arial" w:eastAsia="Arial" w:hAnsi="Arial"/>
          <w:sz w:val="22"/>
          <w:szCs w:val="22"/>
        </w:rPr>
        <w:t xml:space="preserve">Process invariant completeness and automated invariant derivation remain key open research challenges. Our 9 invariants for SWaT P1 cover the primary hydraulic relationships, but do not guarantee 100% attack coverage. Extending this approach to chemical dosing (P2), ultrafiltration (P3), and reverse osmosis (P5) would require domain-specific invariants for reagent concentrations, membrane pressures, and reaction kinetics — significantly more complex than tank-level physics. Automated invariant generation from process data, as explored by Feng et al. (NDSS 2019), is a promising direction for scaling invariant-based detection to complex multi-stage plants.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60" w:after="60"/>
        <w:ind w:left="360" w:hanging="360"/>
      </w:pPr>
      <w:r>
        <w:rPr>
          <w:rFonts w:ascii="Arial" w:cs="Arial" w:eastAsia="Arial" w:hAnsi="Arial"/>
          <w:sz w:val="20"/>
          <w:szCs w:val="20"/>
        </w:rPr>
        <w:t xml:space="preserve">[7] C. Feng, V. R. Palleti, A. Mathur, D. Chana, "A Systematic Framework to Generate Invariants for Anomaly Detection in Industrial Control Systems," NDSS 2019.</w:t>
      </w:r>
    </w:p>
    <w:p>
      <w:pPr>
        <w:spacing w:before="60" w:after="60"/>
        <w:ind w:left="360" w:hanging="360"/>
      </w:pPr>
      <w:r>
        <w:rPr>
          <w:rFonts w:ascii="Arial" w:cs="Arial" w:eastAsia="Arial" w:hAnsi="Arial"/>
          <w:sz w:val="20"/>
          <w:szCs w:val="20"/>
        </w:rPr>
        <w:t xml:space="preserve">[8] M. R. Gauthama Raman, W. Dong, A. Mathur, "Deep Autoencoders as Anomaly Detectors: Method and Case Study in a Distributed Water Treatment Plant," Computers &amp; Security 99, 2020.</w:t>
      </w:r>
    </w:p>
    <w:p>
      <w:pPr>
        <w:spacing w:before="60" w:after="60"/>
        <w:ind w:left="360" w:hanging="360"/>
      </w:pPr>
      <w:r>
        <w:rPr>
          <w:rFonts w:ascii="Arial" w:cs="Arial" w:eastAsia="Arial" w:hAnsi="Arial"/>
          <w:sz w:val="20"/>
          <w:szCs w:val="20"/>
        </w:rPr>
        <w:t xml:space="preserve">[9] M. Kravchik, A. Shabtai, "Efficient Cyber Attack Detection in Industrial Control Systems Using Lightweight Neural Networks and PCA," IEEE Trans. Dependable Secure Comput. 19(4), 2021.</w:t>
      </w:r>
    </w:p>
    <w:p>
      <w:pPr>
        <w:spacing w:before="60" w:after="60"/>
        <w:ind w:left="360" w:hanging="360"/>
      </w:pPr>
      <w:r>
        <w:rPr>
          <w:rFonts w:ascii="Arial" w:cs="Arial" w:eastAsia="Arial" w:hAnsi="Arial"/>
          <w:sz w:val="20"/>
          <w:szCs w:val="20"/>
        </w:rPr>
        <w:t xml:space="preserve">[10] InvarLLM: Wang et al., "LLM-assisted Physical Invariant Extraction for Cyber-Physical Systems Anomaly Detection," NDSS 2025. 100% precision, 0 FP on SWaT and WADI.</w:t>
      </w:r>
    </w:p>
    <w:p>
      <w:pPr>
        <w:spacing w:before="60" w:after="60"/>
        <w:ind w:left="360" w:hanging="360"/>
      </w:pPr>
      <w:r>
        <w:rPr>
          <w:rFonts w:ascii="Arial" w:cs="Arial" w:eastAsia="Arial" w:hAnsi="Arial"/>
          <w:sz w:val="20"/>
          <w:szCs w:val="20"/>
        </w:rPr>
        <w:t xml:space="preserve">[11] SAIN: "Improving ICS Attack Detection Sensitivity via State-Aware Invariants," ACM CCS 2024. State-specific invariant bounds, 2% FPR.</w:t>
      </w:r>
    </w:p>
    <w:p>
      <w:pPr>
        <w:spacing w:before="60" w:after="60"/>
        <w:ind w:left="360" w:hanging="360"/>
      </w:pPr>
      <w:r>
        <w:rPr>
          <w:rFonts w:ascii="Arial" w:cs="Arial" w:eastAsia="Arial" w:hAnsi="Arial"/>
          <w:sz w:val="20"/>
          <w:szCs w:val="20"/>
        </w:rPr>
        <w:t xml:space="preserve">[12] "Leveraging Swarm Intelligence for Invariant Rule Generation and Anomaly Detection in ICS," Applied Sciences 14(22), November 2024.</w:t>
      </w:r>
    </w:p>
    <w:p>
      <w:pPr>
        <w:spacing w:before="60" w:after="60"/>
        <w:ind w:left="360" w:hanging="360"/>
      </w:pPr>
      <w:r>
        <w:rPr>
          <w:rFonts w:ascii="Arial" w:cs="Arial" w:eastAsia="Arial" w:hAnsi="Arial"/>
          <w:sz w:val="20"/>
          <w:szCs w:val="20"/>
        </w:rPr>
        <w:t xml:space="preserve">[13] "Anomaly Detection Using Invariant Rules in Industrial Control Systems," Control Engineering Practice, November 2024. Variation-driven predicate generation on SWaT/WADI.</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