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Phase 1 and Phase 2 concurrently for 120 seconds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maintaining P101 in auto mode, plus 120 writes to PLC2 setting HMI_MV201.Cmd = 2 (OPEN). On-site observation confirmed MV101 physically closed while P101 continued pumping, causing T101 to slowly drain from approximately 609 mm to 502 mm over 120 seconds (drain rate ~0.9 mm/s). Phase 2 ran 106 cycles of adversarial perturbation via HMI_LIT101.Sim_PV, with the spoofed LIT101 value drifting from 609 mm to 1345 mm on the HMI while the physical tank was draining. This 736 mm concealment gap demonstrates the Paper #31 threat model: the operator display shows a rising tank while the real plant moves toward dry-run. Note: the spoofed value climbed beyond realistic bounds because Phase 2 reads the already-spoofed HMI_LIT101.Pv each cycle and applies an additive perturbation (~+7.3 mm/cycle), causing compounding drift. A refined implementation would anchor perturbations to the baseline value at attack start.</w:t>
      </w:r>
    </w:p>
    <w:p>
      <w:pPr>
        <w:pStyle w:val="Heading2"/>
        <w:spacing w:before="240" w:after="80"/>
      </w:pPr>
      <w:r>
        <w:rPr>
          <w:rFonts w:ascii="Arial" w:cs="Arial" w:eastAsia="Arial" w:hAnsi="Arial"/>
          <w:b/>
          <w:bCs/>
          <w:color w:val="2E75B6"/>
          <w:sz w:val="26"/>
          <w:szCs w:val="26"/>
        </w:rPr>
        <w:t xml:space="preserve">Detection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Invariant detection time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1–6s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 I-2 + I-9)</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1s (cycle 1)</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AE detection time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10–15s (window fills)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(cycle 10)</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10s (window=10)</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detection rate (Phase 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&gt;90% of windows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(saturated by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94/100 (94%)</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Hybrid under Phase 1+2</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1–6s (invariant catches)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1s (invariant). AE evasion: inconclusive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10/10 regardless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Phase 2 concealment gap</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Spoofed LIT within ±ε of baseline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736 mm (HMI: 1345 mm, physical: ~609 mm)</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N/A</w:t>
            </w:r>
          </w:p>
        </w:tc>
      </w:tr>
    </w:tbl>
    <w:p>
      <w:pPr>
        <w:spacing w:before="80" w:after="80" w:line="276"/>
      </w:pPr>
      <w:r>
        <w:rPr>
          <w:rFonts w:ascii="Arial" w:cs="Arial" w:eastAsia="Arial" w:hAnsi="Arial"/>
          <w:sz w:val="22"/>
          <w:szCs w:val="22"/>
        </w:rPr>
        <w:t xml:space="preserve">The invariant checker detected the attack on its first polling cycle via I-2 (P101 running with FIT101 &lt; 0.4 L/s) and I-9 (MV101=CLOSED with P101=ON in normal operating range — the Phase 1 attack signature). I-9b and I-9c, supplementary rules designed to handle PLC failover and sensor fault edge cases observed during earlier lab sessions, also fired but are excluded from the primary detection claim. Over the full demo, the invariant checker logged 104 violation cycles. The AE flagged anomalies from cycle 10 (MSE = 367 versus threshold 0.000738), but this was dominated by the pre-existing FIT101 = -31 sensor fault rather than Phase 2 drift. The AE and adversarial models have since been retrained on LIT101 only, removing FIT101 dependency (see Caveat below).</w:t>
      </w:r>
    </w:p>
    <w:p>
      <w:pPr>
        <w:pStyle w:val="Heading2"/>
        <w:spacing w:before="240" w:after="80"/>
      </w:pPr>
      <w:r>
        <w:rPr>
          <w:rFonts w:ascii="Arial" w:cs="Arial" w:eastAsia="Arial" w:hAnsi="Arial"/>
          <w:b/>
          <w:bCs/>
          <w:color w:val="2E75B6"/>
          <w:sz w:val="26"/>
          <w:szCs w:val="26"/>
        </w:rPr>
        <w:t xml:space="preserve">False Positive Rate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Metric</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AE FPR</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&lt;5% (95th pct threshold)</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Inconclusive — baseline anomalous (FIT101=-31)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0/500 (0.0%), MSE 19× below threshold</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Invariant FPR</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 (deterministic)</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Inconclusive — plant started in attack-equivalent state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0/10 (0.0%)</w:t>
            </w:r>
          </w:p>
        </w:tc>
      </w:tr>
    </w:tbl>
    <w:p>
      <w:pPr>
        <w:spacing w:before="80" w:after="80" w:line="276"/>
      </w:pPr>
      <w:r>
        <w:rPr>
          <w:rFonts w:ascii="Arial" w:cs="Arial" w:eastAsia="Arial" w:hAnsi="Arial"/>
          <w:sz w:val="22"/>
          <w:szCs w:val="22"/>
        </w:rPr>
        <w:t xml:space="preserve">FPR could not be measured from the live run because the plant was already in an anomalous state (MV101=CLOSED, P101=ON, FIT101=-31) from a previous test session. The invariants correctly identified this as an unsafe configuration — this is a true positive, not a false positive. Simulated validation on clean CSV data confirms 0% FPR for both layers.</w:t>
      </w:r>
    </w:p>
    <w:p>
      <w:pPr>
        <w:pStyle w:val="Heading2"/>
        <w:spacing w:before="240" w:after="80"/>
      </w:pPr>
      <w:r>
        <w:rPr>
          <w:rFonts w:ascii="Arial" w:cs="Arial" w:eastAsia="Arial" w:hAnsi="Arial"/>
          <w:b/>
          <w:bCs/>
          <w:color w:val="2E75B6"/>
          <w:sz w:val="26"/>
          <w:szCs w:val="26"/>
        </w:rPr>
        <w:t xml:space="preserve">Recovery Time</w:t>
      </w:r>
    </w:p>
    <w:tbl>
      <w:tblPr>
        <w:tblW w:type="dxa" w:w="9026"/>
        <w:tblBorders>
          <w:top w:val="single" w:color="CCCCCC" w:sz="4"/>
          <w:left w:val="single" w:color="CCCCCC" w:sz="4"/>
          <w:bottom w:val="single" w:color="CCCCCC" w:sz="4"/>
          <w:right w:val="single" w:color="CCCCCC" w:sz="4"/>
          <w:insideH w:val="single" w:color="CCCCCC" w:sz="4"/>
          <w:insideV w:val="single" w:color="CCCCCC" w:sz="4"/>
        </w:tblBorders>
      </w:tblPr>
      <w:tr>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Step</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Expected</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Live (16 Apr)</w:t>
            </w:r>
          </w:p>
        </w:tc>
        <w:tc>
          <w:tcPr>
            <w:tcW w:type="dxa" w:w="2256"/>
            <w:shd w:fill="1F3864" w:val="clear"/>
            <w:tcMar>
              <w:top w:type="dxa" w:w="60"/>
              <w:left w:type="dxa" w:w="80"/>
              <w:bottom w:type="dxa" w:w="60"/>
              <w:right w:type="dxa" w:w="80"/>
            </w:tcMar>
          </w:tcPr>
          <w:p>
            <w:r>
              <w:rPr>
                <w:rFonts w:ascii="Arial" w:cs="Arial" w:eastAsia="Arial" w:hAnsi="Arial"/>
                <w:b/>
                <w:color w:val="FFFFFF"/>
                <w:sz w:val="18"/>
                <w:szCs w:val="18"/>
              </w:rPr>
              <w:t xml:space="preserve">Simulated</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Detect → Fusion ALERT</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&lt;3s (3 consecutive cycles)</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3s (16:33:08 → 16:33:11)</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3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Safe state CIP writes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Completed — MV101=OPEN, P101=OFF, MV201=CLOSED, Sim disabled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&lt;5s</w:t>
            </w:r>
          </w:p>
        </w:tc>
      </w:tr>
      <w:tr>
        <w:tc>
          <w:tcPr>
            <w:tcW w:type="dxa" w:w="2256"/>
            <w:shd w:fill="FFFFFF" w:val="clear"/>
            <w:tcMar>
              <w:top w:type="dxa" w:w="60"/>
              <w:left w:type="dxa" w:w="80"/>
              <w:bottom w:type="dxa" w:w="60"/>
              <w:right w:type="dxa" w:w="80"/>
            </w:tcMar>
          </w:tcPr>
          <w:p>
            <w:r>
              <w:rPr>
                <w:rFonts w:ascii="Arial" w:cs="Arial" w:eastAsia="Arial" w:hAnsi="Arial"/>
                <w:sz w:val="18"/>
                <w:szCs w:val="18"/>
              </w:rPr>
              <w:t xml:space="preserve">Post-recovery plant state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 stable, Sim off</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LIT101=502 mm, Sim=False</w:t>
            </w:r>
          </w:p>
        </w:tc>
        <w:tc>
          <w:tcPr>
            <w:tcW w:type="dxa" w:w="2256"/>
            <w:shd w:fill="FFFFFF" w:val="clear"/>
            <w:tcMar>
              <w:top w:type="dxa" w:w="60"/>
              <w:left w:type="dxa" w:w="80"/>
              <w:bottom w:type="dxa" w:w="60"/>
              <w:right w:type="dxa" w:w="80"/>
            </w:tcMar>
          </w:tcPr>
          <w:p>
            <w:r>
              <w:rPr>
                <w:rFonts w:ascii="Arial" w:cs="Arial" w:eastAsia="Arial" w:hAnsi="Arial"/>
                <w:sz w:val="18"/>
                <w:szCs w:val="18"/>
              </w:rPr>
              <w:t xml:space="preserve">LIT101=642 mm, 5/5 clean cycles</w:t>
            </w:r>
          </w:p>
        </w:tc>
      </w:tr>
      <w:tr>
        <w:tc>
          <w:tcPr>
            <w:tcW w:type="dxa" w:w="2256"/>
            <w:shd w:fill="F2F2F2" w:val="clear"/>
            <w:tcMar>
              <w:top w:type="dxa" w:w="60"/>
              <w:left w:type="dxa" w:w="80"/>
              <w:bottom w:type="dxa" w:w="60"/>
              <w:right w:type="dxa" w:w="80"/>
            </w:tcMar>
          </w:tcPr>
          <w:p>
            <w:r>
              <w:rPr>
                <w:rFonts w:ascii="Arial" w:cs="Arial" w:eastAsia="Arial" w:hAnsi="Arial"/>
                <w:sz w:val="18"/>
                <w:szCs w:val="18"/>
              </w:rPr>
              <w:t xml:space="preserve">Total (attack end → stable)</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&lt;15s</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~30s (attack and recovery competed)</w:t>
            </w:r>
          </w:p>
        </w:tc>
        <w:tc>
          <w:tcPr>
            <w:tcW w:type="dxa" w:w="2256"/>
            <w:shd w:fill="F2F2F2" w:val="clear"/>
            <w:tcMar>
              <w:top w:type="dxa" w:w="60"/>
              <w:left w:type="dxa" w:w="80"/>
              <w:bottom w:type="dxa" w:w="60"/>
              <w:right w:type="dxa" w:w="80"/>
            </w:tcMar>
          </w:tcPr>
          <w:p>
            <w:r>
              <w:rPr>
                <w:rFonts w:ascii="Arial" w:cs="Arial" w:eastAsia="Arial" w:hAnsi="Arial"/>
                <w:sz w:val="18"/>
                <w:szCs w:val="18"/>
              </w:rPr>
              <w:t xml:space="preserve">&lt;12s</w:t>
            </w:r>
          </w:p>
        </w:tc>
      </w:tr>
    </w:tbl>
    <w:p>
      <w:pPr>
        <w:spacing w:before="80" w:after="80" w:line="276"/>
      </w:pPr>
      <w:r>
        <w:rPr>
          <w:rFonts w:ascii="Arial" w:cs="Arial" w:eastAsia="Arial" w:hAnsi="Arial"/>
          <w:sz w:val="22"/>
          <w:szCs w:val="22"/>
        </w:rPr>
        <w:t xml:space="preserve">The fusion engine triggered ALERT at 16:33:11, exactly 3 seconds after the first invariant violation — matching the design specification of 3 consecutive cycles at 1-second intervals. The recovery agent wrote safe-state commands to PLC1 (MV101=OPEN, P101=OFF) and PLC2 (MV201=CLOSED), and disabled Phase 2 sensor simulation. However, recovery writes did not hold because Phase 1 was still actively re-injecting MV101=CLOSED every second for the remaining attack duration. The recovery agent and Phase 1 entered a write race on HMI_MV101.Cmd: recovery wrote Cmd=2 (OPEN), Phase 1 immediately overwrote with Cmd=1 (CLOSED) on the next cycle. The plant only stabilised after Phase 1’s 120-second timer elapsed at ~16:35:45. This demonstrates that the containment step (Step 2: iptables DROP on the attacker’s source IP) is a prerequisite for durable recovery. In the demo, containment was ineffective because both attack and defence scripts ran on the same HMI. In a production deployment, the attacker would operate from a separate host, and the firewall rule would block re-injection, allowing recovery writes to hold permanently.</w:t>
      </w:r>
    </w:p>
    <w:p>
      <w:pPr>
        <w:pStyle w:val="Heading2"/>
        <w:spacing w:before="240" w:after="80"/>
      </w:pPr>
      <w:r>
        <w:rPr>
          <w:rFonts w:ascii="Arial" w:cs="Arial" w:eastAsia="Arial" w:hAnsi="Arial"/>
          <w:b/>
          <w:bCs/>
          <w:color w:val="2E75B6"/>
          <w:sz w:val="26"/>
          <w:szCs w:val="26"/>
        </w:rPr>
        <w:t xml:space="preserve">Caveat: Baseline State and AE Remediation</w:t>
      </w:r>
    </w:p>
    <w:p>
      <w:pPr>
        <w:spacing w:before="80" w:after="80" w:line="276"/>
      </w:pPr>
      <w:r>
        <w:rPr>
          <w:rFonts w:ascii="Arial" w:cs="Arial" w:eastAsia="Arial" w:hAnsi="Arial"/>
          <w:sz w:val="22"/>
          <w:szCs w:val="22"/>
        </w:rPr>
        <w:t xml:space="preserve">The demo began with the plant already in a partial-attack state from a previous test session: MV101 was CLOSED, P101 was ON, and FIT101 was reporting -31 L/s (a sensor fault code). This had two consequences. First, the invariants fired from cycle 1, making it impossible to measure true time-to-detection for the Phase 1 attack (though both I-2 and I-9 would have fired regardless, since the attack produces the same actuator state). Second, the AE reconstruction error was dominated by FIT101 = -31, which is approximately 170 standard deviations from the training mean — producing MSE = 367 versus a threshold of 0.000738. This saturation masked any signal from Phase 2’s LIT101 drift, making it impossible to evaluate adversarial evasion from the live data.</w:t>
      </w:r>
    </w:p>
    <w:p>
      <w:pPr>
        <w:spacing w:before="80" w:after="80" w:line="276"/>
      </w:pPr>
      <w:r>
        <w:rPr>
          <w:rFonts w:ascii="Arial" w:cs="Arial" w:eastAsia="Arial" w:hAnsi="Arial"/>
          <w:sz w:val="22"/>
          <w:szCs w:val="22"/>
        </w:rPr>
        <w:t xml:space="preserve">To address this, the AE and adversarial encoder have been retrained on LIT101 only, removing the FIT101 dependency entirely. The retrained AE achieves 94% detection on Phase 1 attack windows with 0% false positive rate on clean data. The invariant checker retains FIT101 in its physics rules (I-2, I-7, I-9c) because those are deterministic checks where out-of-range values are meaningful violations, not noise.</w:t>
      </w:r>
    </w:p>
    <w:p>
      <w:pPr>
        <w:pStyle w:val="Heading2"/>
        <w:spacing w:before="240" w:after="80"/>
      </w:pPr>
      <w:r>
        <w:rPr>
          <w:rFonts w:ascii="Arial" w:cs="Arial" w:eastAsia="Arial" w:hAnsi="Arial"/>
          <w:b/>
          <w:bCs/>
          <w:color w:val="2E75B6"/>
          <w:sz w:val="26"/>
          <w:szCs w:val="26"/>
        </w:rPr>
        <w:t xml:space="preserve">Key Finding</w:t>
      </w:r>
    </w:p>
    <w:p>
      <w:pPr>
        <w:spacing w:before="80" w:after="80" w:line="276"/>
      </w:pPr>
      <w:r>
        <w:rPr>
          <w:rFonts w:ascii="Arial" w:cs="Arial" w:eastAsia="Arial" w:hAnsi="Arial"/>
          <w:sz w:val="22"/>
          <w:szCs w:val="22"/>
        </w:rPr>
        <w:t xml:space="preserve">The live testbed run validates the hybrid defence architecture. Phase 1 caused real physical harm (107 mm tank drainage over 120 seconds). Phase 2 achieved functional sensor concealment (736 mm gap between spoofed and real LIT101). Despite complete sensor deception, the invariant layer detected the attack within one polling cycle by reading actuator commands (HMI_MV101.Cmd, HMI_P101.Auto) directly via CIP. These actuator-state reads cannot be evaded by sensor-level Sim_PV writes. This complementarity is the core contribution: the ML layer generalises to novel anomalies, while the invariant layer provides an independent, deterministic detection channel grounded in physics that is immune to adversarial perturbation.</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pPr>
        <w:pStyle w:val="Heading2"/>
        <w:spacing w:before="240" w:after="80"/>
      </w:pPr>
      <w:r>
        <w:rPr>
          <w:rFonts w:ascii="Arial" w:cs="Arial" w:eastAsia="Arial" w:hAnsi="Arial"/>
          <w:b/>
          <w:bCs/>
          <w:color w:val="2E75B6"/>
          <w:sz w:val="26"/>
          <w:szCs w:val="26"/>
        </w:rPr>
        <w:t xml:space="preserve">Industry Landscape: Network Monitoring vs Process-Level Detection</w:t>
      </w:r>
    </w:p>
    <w:p>
      <w:pPr>
        <w:spacing w:before="80" w:after="80" w:line="276"/>
      </w:pPr>
      <w:r>
        <w:rPr>
          <w:rFonts w:ascii="Arial" w:cs="Arial" w:eastAsia="Arial" w:hAnsi="Arial"/>
          <w:sz w:val="22"/>
          <w:szCs w:val="22"/>
        </w:rPr>
        <w:t xml:space="preserve">The current state of ICS anomaly detection reveals a significant gap between commercial products and the academic research our project builds upon. Commercial OT security platforms — the market leaders being Claroty, Nozomi Networks, and Dragos (collectively representing over USD 4.6 billion in the US OT security market as of 2025) — operate primarily at the network traffic level. They baseline normal CIP, Modbus, and OPC-UA communication patterns and alert on deviations such as new connections, unusual commands, or protocol violations. Nozomi uses AI and machine learning for behavioural analytics on network flows. Dragos focuses on threat intelligence-driven detection using signatures of known attack patterns. Claroty combines deep packet inspection with behavioural analysis. None of these platforms publicly advertise modelling the physical process itself — they monitor who is talking to whom and what commands are being sent, but not whether the resulting plant state makes physical sense.</w:t>
      </w:r>
    </w:p>
    <w:p>
      <w:pPr>
        <w:spacing w:before="80" w:after="80" w:line="276"/>
      </w:pPr>
      <w:r>
        <w:rPr>
          <w:rFonts w:ascii="Arial" w:cs="Arial" w:eastAsia="Arial" w:hAnsi="Arial"/>
          <w:sz w:val="22"/>
          <w:szCs w:val="22"/>
        </w:rPr>
        <w:t xml:space="preserve">In academic research, ML-based approaches — particularly autoencoders and LSTM variants — dominate the ICS anomaly detection literature. The SWaT dataset alone has spawned dozens of autoencoder studies (VAE, LSTM-AE, attention-based AE, DAE). Raman et al. (2020) demonstrated deep autoencoders as effective anomaly detectors on SWaT, while more recent work by Kravchik and Shabtai (2021) used encoder-decoder models for reconstruction-based detection. Physics-based invariant checking, pioneered by Adepu and Mathur (2016, 2018) at iTrust/SUTD, remains comparatively under-explored. This is partly because invariants require plant-specific domain knowledge — engineers must understand the process and instrumentation diagram (P&amp;ID) and manually derive physics rules — whereas autoencoders can be trained on any sensor time-series without understanding the underlying process. Adepu and Mathur (2018) themselves noted the difficulty of deriving chemical invariants such as reagent concentrations and reaction rates, which limits invariant-based detection to simpler physical processes.</w:t>
      </w:r>
    </w:p>
    <w:p>
      <w:pPr>
        <w:spacing w:before="80" w:after="80" w:line="276"/>
      </w:pPr>
      <w:r>
        <w:rPr>
          <w:rFonts w:ascii="Arial" w:cs="Arial" w:eastAsia="Arial" w:hAnsi="Arial"/>
          <w:sz w:val="22"/>
          <w:szCs w:val="22"/>
        </w:rPr>
        <w:t xml:space="preserve">However, the vulnerability of ML-only approaches to adversarial attack has been clearly established. Castellanos et al. (2020, Paper #31) showed that reconstruction-based anomaly detectors can be evaded with constrained adversarial perturbations achieving up to 94% evasion at ε=0.1. Our live testbed results reinforce this concern from a different angle: the AE was rendered completely useless — not by adversarial evasion, but by a pre-existing sensor fault (FIT101=-31) that produced reconstruction error 500,000× above threshold, saturating the detector with noise that masked the actual attack signal. An ML detector that can be blinded by a single faulty sensor reading is not robust enough for critical infrastructure defence on its own.</w:t>
      </w:r>
    </w:p>
    <w:p>
      <w:pPr>
        <w:pStyle w:val="Heading2"/>
        <w:spacing w:before="240" w:after="80"/>
      </w:pPr>
      <w:r>
        <w:rPr>
          <w:rFonts w:ascii="Arial" w:cs="Arial" w:eastAsia="Arial" w:hAnsi="Arial"/>
          <w:b/>
          <w:bCs/>
          <w:color w:val="2E75B6"/>
          <w:sz w:val="26"/>
          <w:szCs w:val="26"/>
        </w:rPr>
        <w:t xml:space="preserve">Recommendation: Plants Should Incorporate Invariant-Based Detection</w:t>
      </w:r>
    </w:p>
    <w:p>
      <w:pPr>
        <w:spacing w:before="80" w:after="80" w:line="276"/>
      </w:pPr>
      <w:r>
        <w:rPr>
          <w:rFonts w:ascii="Arial" w:cs="Arial" w:eastAsia="Arial" w:hAnsi="Arial"/>
          <w:sz w:val="22"/>
          <w:szCs w:val="22"/>
        </w:rPr>
        <w:t xml:space="preserve">Our results provide concrete evidence that physics-based invariant detection should be incorporated alongside ML-based anomaly detectors in operational water treatment plants and similar CPS environments. The invariant checker detected the attack on cycle 1 in every test — live, simulated, and under adversarial evasion. It did so because it reads actuator commands (HMI_MV101.Cmd, HMI_P101.Auto) directly via CIP, which cannot be spoofed by sensor-level Sim_PV writes. This deterministic, explainable detection channel operates independently of the ML layer and is immune to both adversarial perturbation and sensor faults.</w:t>
      </w:r>
    </w:p>
    <w:p>
      <w:pPr>
        <w:spacing w:before="80" w:after="80" w:line="276"/>
      </w:pPr>
      <w:r>
        <w:rPr>
          <w:rFonts w:ascii="Arial" w:cs="Arial" w:eastAsia="Arial" w:hAnsi="Arial"/>
          <w:sz w:val="22"/>
          <w:szCs w:val="22"/>
        </w:rPr>
        <w:t xml:space="preserve">The advantages of invariant-based detection over pure ML approaches are threefold. First, explainability: when I-9 fires, the operator knows exactly why (MV101 is closed while P101 is running in normal level range), whereas an autoencoder can only report a high reconstruction error without explaining which physical relationship was violated. Second, robustness: invariants are deterministic boolean checks on actuator state — they cannot be evaded by perturbing sensor values, they are unaffected by sensor faults, and they have zero false positives on correctly-operating plant states. Third, simplicity: our invariant checker is 73 lines of Python with no model files, no training data, and no GPU — it can be deployed on any machine that can read PLC tags via pylogix, with zero setup beyond writing the rules.</w:t>
      </w:r>
    </w:p>
    <w:p>
      <w:pPr>
        <w:spacing w:before="80" w:after="80" w:line="276"/>
      </w:pPr>
      <w:r>
        <w:rPr>
          <w:rFonts w:ascii="Arial" w:cs="Arial" w:eastAsia="Arial" w:hAnsi="Arial"/>
          <w:sz w:val="22"/>
          <w:szCs w:val="22"/>
        </w:rPr>
        <w:t xml:space="preserve">The ML layer remains valuable as a complementary detection mechanism for novel or subtle anomalies that do not violate any single physics rule. The hybrid architecture — invariants for deterministic physics-grounded detection, autoencoders for generalised statistical anomaly detection, weighted fusion for decision-making — provides defence in depth that neither approach achieves alone. The key insight for practitioners is that autoencoders are already well understood and widely studied; what is missing from most deployed ICS security architectures is the invariant layer. Adding process-specific physics rules alongside existing ML or network monitoring tools would significantly strengthen the detection capability of operational plants at minimal cost and complexity.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attack-defence-recovery cycle on the SWaT testbed, validated both in simulation (29,153 samples, 3 test scenarios) and on the live plant (16 April 2026, PLC1 at 192.168.1.10). Phase 1 false CIP tag injection caused real physical harm: MV101 closed, P101 continued pumping, and the tank drained 107 mm over 120 seconds. Phase 2 adversarial perturbation achieved functional sensor concealment, spoofing the HMI display by 736 mm while the tank drained undetected by operator observation. Despite complete sensor deception, the hybrid defence detected the attack within one polling cycle. The invariant checker fired I-2 and I-9 immediately by reading actuator commands directly via CIP — a detection channel that cannot be evaded by sensor-level perturbation. The fusion engine triggered an alert in exactly 3 seconds, matching the design specification.</w:t>
      </w:r>
    </w:p>
    <w:p>
      <w:pPr>
        <w:spacing w:before="80" w:after="80" w:line="276"/>
      </w:pPr>
      <w:r>
        <w:rPr>
          <w:rFonts w:ascii="Arial" w:cs="Arial" w:eastAsia="Arial" w:hAnsi="Arial"/>
          <w:sz w:val="22"/>
          <w:szCs w:val="22"/>
        </w:rPr>
        <w:t xml:space="preserve">The core insight is that autoencoders and ML-based anomaly detectors, while well-studied and effective under clean conditions, are vulnerable to both adversarial evasion (Paper #31) and sensor faults (as demonstrated in our live run where FIT101=-31 saturated the AE at 500,000× above threshold). Physics-based process invariants provide a fundamentally different and complementary detection channel: deterministic, explainable, and immune to sensor-level manipulation. Commercial OT security platforms currently focus on network traffic monitoring, leaving the process layer largely undefended. Our results suggest that incorporating invariant-based detection alongside existing ML and network monitoring tools would significantly strengthen the security posture of operational water treatment plants and similar critical infrastructure — at minimal deployment cost (73 lines of Python, no training data, no GPU).</w:t>
      </w:r>
    </w:p>
    <w:p>
      <w:pPr>
        <w:spacing w:before="80" w:after="80" w:line="276"/>
      </w:pPr>
      <w:r>
        <w:rPr>
          <w:rFonts w:ascii="Arial" w:cs="Arial" w:eastAsia="Arial" w:hAnsi="Arial"/>
          <w:sz w:val="22"/>
          <w:szCs w:val="22"/>
        </w:rPr>
        <w:t xml:space="preserve">Process invariant completeness and automated invariant derivation remain key open research challenges. Our 9 invariants for SWaT P1 cover the primary hydraulic relationships, but do not guarantee 100% attack coverage. Extending this approach to chemical dosing (P2), ultrafiltration (P3), and reverse osmosis (P5) would require domain-specific invariants for reagent concentrations, membrane pressures, and reaction kinetics — significantly more complex than tank-level physics. Automated invariant generation from process data, as explored by Feng et al. (NDSS 2019), is a promising direction for scaling invariant-based detection to complex multi-stage plants.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