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B8B27" w14:textId="35CBD39D" w:rsidR="003C1909" w:rsidRDefault="009230D7" w:rsidP="003C1909">
      <w:pPr>
        <w:pStyle w:val="Normal1"/>
        <w:ind w:right="-560"/>
        <w:jc w:val="center"/>
        <w:rPr>
          <w:b/>
          <w:sz w:val="64"/>
          <w:szCs w:val="64"/>
        </w:rPr>
      </w:pPr>
      <w:r w:rsidRPr="00236C3C">
        <w:rPr>
          <w:rFonts w:ascii="Times New Roman"/>
          <w:bCs/>
          <w:noProof/>
          <w:sz w:val="20"/>
          <w:szCs w:val="60"/>
        </w:rPr>
        <w:drawing>
          <wp:inline distT="0" distB="0" distL="0" distR="0" wp14:anchorId="6781EDF2" wp14:editId="7E925ACA">
            <wp:extent cx="3802665" cy="2166175"/>
            <wp:effectExtent l="0" t="0" r="0" b="0"/>
            <wp:docPr id="1967787677" name="image1.jpeg"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802665" cy="2166175"/>
                    </a:xfrm>
                    <a:prstGeom prst="rect">
                      <a:avLst/>
                    </a:prstGeom>
                  </pic:spPr>
                </pic:pic>
              </a:graphicData>
            </a:graphic>
          </wp:inline>
        </w:drawing>
      </w:r>
    </w:p>
    <w:p w14:paraId="49EE233F" w14:textId="60C19967" w:rsidR="00E96F77" w:rsidRDefault="004272D5" w:rsidP="003C1909">
      <w:pPr>
        <w:pStyle w:val="Normal1"/>
        <w:ind w:right="-560"/>
        <w:jc w:val="center"/>
        <w:rPr>
          <w:b/>
          <w:sz w:val="32"/>
          <w:szCs w:val="32"/>
          <w:u w:val="single"/>
        </w:rPr>
      </w:pPr>
      <w:r w:rsidRPr="004272D5">
        <w:rPr>
          <w:b/>
          <w:sz w:val="32"/>
          <w:szCs w:val="32"/>
          <w:u w:val="single"/>
        </w:rPr>
        <w:t>DS110 – Introduction to Data Science</w:t>
      </w:r>
    </w:p>
    <w:p w14:paraId="7218F7C1" w14:textId="244D70D3" w:rsidR="003C1909" w:rsidRDefault="003C1909" w:rsidP="003C1909">
      <w:pPr>
        <w:pStyle w:val="Normal1"/>
        <w:ind w:right="-560"/>
        <w:jc w:val="center"/>
        <w:rPr>
          <w:b/>
          <w:sz w:val="32"/>
          <w:szCs w:val="32"/>
        </w:rPr>
      </w:pPr>
      <w:r>
        <w:rPr>
          <w:b/>
          <w:sz w:val="32"/>
          <w:szCs w:val="32"/>
        </w:rPr>
        <w:t>Assignment: Project Proposal</w:t>
      </w:r>
    </w:p>
    <w:p w14:paraId="3A4DDDA7" w14:textId="77777777" w:rsidR="004272D5" w:rsidRDefault="003C1909" w:rsidP="004272D5">
      <w:pPr>
        <w:pStyle w:val="papertitle"/>
        <w:spacing w:before="100" w:beforeAutospacing="1" w:after="100" w:afterAutospacing="1"/>
        <w:rPr>
          <w:b/>
          <w:bCs/>
          <w:sz w:val="32"/>
          <w:szCs w:val="32"/>
        </w:rPr>
      </w:pPr>
      <w:r>
        <w:rPr>
          <w:b/>
          <w:bCs/>
          <w:sz w:val="32"/>
          <w:szCs w:val="32"/>
        </w:rPr>
        <w:t>Project Title</w:t>
      </w:r>
      <w:r w:rsidR="00D03D03">
        <w:rPr>
          <w:b/>
          <w:bCs/>
          <w:sz w:val="32"/>
          <w:szCs w:val="32"/>
        </w:rPr>
        <w:t>:</w:t>
      </w:r>
      <w:r w:rsidR="004272D5">
        <w:rPr>
          <w:b/>
          <w:bCs/>
          <w:sz w:val="32"/>
          <w:szCs w:val="32"/>
        </w:rPr>
        <w:t xml:space="preserve"> </w:t>
      </w:r>
    </w:p>
    <w:p w14:paraId="5C021791" w14:textId="197861D5" w:rsidR="004272D5" w:rsidRPr="004272D5" w:rsidRDefault="004272D5" w:rsidP="004272D5">
      <w:pPr>
        <w:pStyle w:val="papertitle"/>
        <w:spacing w:before="100" w:beforeAutospacing="1" w:after="100" w:afterAutospacing="1"/>
        <w:rPr>
          <w:color w:val="2E74B5" w:themeColor="accent5" w:themeShade="BF"/>
        </w:rPr>
      </w:pPr>
      <w:r w:rsidRPr="004272D5">
        <w:rPr>
          <w:b/>
          <w:bCs/>
          <w:color w:val="2E74B5" w:themeColor="accent5" w:themeShade="BF"/>
          <w:sz w:val="32"/>
          <w:szCs w:val="32"/>
        </w:rPr>
        <w:t>Feeding the Few: Mapping Inequality Behind Pakistan’s Hunger Crisis</w:t>
      </w:r>
    </w:p>
    <w:p w14:paraId="42E5A0F2" w14:textId="574EEE17" w:rsidR="003C1909" w:rsidRDefault="003C1909" w:rsidP="00D03D03">
      <w:pPr>
        <w:pStyle w:val="Normal1"/>
        <w:ind w:right="-560"/>
        <w:rPr>
          <w:b/>
          <w:bCs/>
          <w:sz w:val="32"/>
          <w:szCs w:val="32"/>
        </w:rPr>
      </w:pPr>
    </w:p>
    <w:p w14:paraId="7E5C4B3D" w14:textId="77777777" w:rsidR="003C1909" w:rsidRDefault="003C1909" w:rsidP="003C1909">
      <w:pPr>
        <w:pStyle w:val="Normal1"/>
        <w:ind w:right="-560"/>
        <w:jc w:val="center"/>
        <w:rPr>
          <w:b/>
          <w:bCs/>
          <w:sz w:val="32"/>
          <w:szCs w:val="32"/>
        </w:rPr>
      </w:pPr>
    </w:p>
    <w:tbl>
      <w:tblPr>
        <w:tblStyle w:val="TableGrid"/>
        <w:tblW w:w="9754" w:type="dxa"/>
        <w:tblInd w:w="0" w:type="dxa"/>
        <w:tblLook w:val="04A0" w:firstRow="1" w:lastRow="0" w:firstColumn="1" w:lastColumn="0" w:noHBand="0" w:noVBand="1"/>
      </w:tblPr>
      <w:tblGrid>
        <w:gridCol w:w="1555"/>
        <w:gridCol w:w="3179"/>
        <w:gridCol w:w="5020"/>
      </w:tblGrid>
      <w:tr w:rsidR="003C1909" w14:paraId="0759FAE2" w14:textId="77777777" w:rsidTr="00A360AE">
        <w:trPr>
          <w:trHeight w:val="608"/>
        </w:trPr>
        <w:tc>
          <w:tcPr>
            <w:tcW w:w="0" w:type="auto"/>
            <w:gridSpan w:val="3"/>
            <w:tcBorders>
              <w:top w:val="single" w:sz="4" w:space="0" w:color="auto"/>
              <w:left w:val="single" w:sz="4" w:space="0" w:color="auto"/>
              <w:bottom w:val="single" w:sz="4" w:space="0" w:color="auto"/>
              <w:right w:val="single" w:sz="4" w:space="0" w:color="auto"/>
            </w:tcBorders>
            <w:hideMark/>
          </w:tcPr>
          <w:p w14:paraId="35BF4F82" w14:textId="6F7732A9" w:rsidR="003C1909" w:rsidRDefault="003C1909" w:rsidP="00A360AE">
            <w:pPr>
              <w:pStyle w:val="Normal1"/>
              <w:jc w:val="center"/>
              <w:rPr>
                <w:b/>
                <w:bCs/>
                <w:sz w:val="32"/>
                <w:szCs w:val="32"/>
              </w:rPr>
            </w:pPr>
            <w:r>
              <w:rPr>
                <w:b/>
                <w:sz w:val="32"/>
                <w:szCs w:val="32"/>
              </w:rPr>
              <w:t xml:space="preserve">Group No. </w:t>
            </w:r>
            <w:r w:rsidR="004272D5">
              <w:rPr>
                <w:b/>
                <w:sz w:val="32"/>
                <w:szCs w:val="32"/>
              </w:rPr>
              <w:t>06</w:t>
            </w:r>
          </w:p>
        </w:tc>
      </w:tr>
      <w:tr w:rsidR="003C1909" w14:paraId="1CBFA278" w14:textId="77777777" w:rsidTr="00A360AE">
        <w:trPr>
          <w:trHeight w:val="608"/>
        </w:trPr>
        <w:tc>
          <w:tcPr>
            <w:tcW w:w="0" w:type="auto"/>
            <w:gridSpan w:val="3"/>
            <w:tcBorders>
              <w:top w:val="single" w:sz="4" w:space="0" w:color="auto"/>
              <w:left w:val="single" w:sz="4" w:space="0" w:color="auto"/>
              <w:bottom w:val="single" w:sz="4" w:space="0" w:color="auto"/>
              <w:right w:val="single" w:sz="4" w:space="0" w:color="auto"/>
            </w:tcBorders>
            <w:hideMark/>
          </w:tcPr>
          <w:p w14:paraId="21FA5C9C" w14:textId="77777777" w:rsidR="003C1909" w:rsidRDefault="003C1909" w:rsidP="00A360AE">
            <w:pPr>
              <w:pStyle w:val="Normal1"/>
              <w:jc w:val="center"/>
              <w:rPr>
                <w:b/>
                <w:sz w:val="32"/>
                <w:szCs w:val="32"/>
              </w:rPr>
            </w:pPr>
            <w:r>
              <w:rPr>
                <w:b/>
                <w:sz w:val="32"/>
                <w:szCs w:val="32"/>
              </w:rPr>
              <w:t>Members:</w:t>
            </w:r>
          </w:p>
        </w:tc>
      </w:tr>
      <w:tr w:rsidR="003C1909" w14:paraId="28BF66AB" w14:textId="77777777" w:rsidTr="00A360AE">
        <w:trPr>
          <w:trHeight w:val="608"/>
        </w:trPr>
        <w:tc>
          <w:tcPr>
            <w:tcW w:w="1555" w:type="dxa"/>
            <w:tcBorders>
              <w:top w:val="single" w:sz="4" w:space="0" w:color="auto"/>
              <w:left w:val="single" w:sz="4" w:space="0" w:color="auto"/>
              <w:bottom w:val="single" w:sz="4" w:space="0" w:color="auto"/>
              <w:right w:val="single" w:sz="4" w:space="0" w:color="auto"/>
            </w:tcBorders>
            <w:hideMark/>
          </w:tcPr>
          <w:p w14:paraId="7EC8883E" w14:textId="77777777" w:rsidR="003C1909" w:rsidRDefault="003C1909" w:rsidP="00A360AE">
            <w:pPr>
              <w:pStyle w:val="Normal1"/>
              <w:ind w:right="-560"/>
              <w:jc w:val="center"/>
              <w:rPr>
                <w:b/>
                <w:sz w:val="32"/>
                <w:szCs w:val="32"/>
              </w:rPr>
            </w:pPr>
            <w:r>
              <w:rPr>
                <w:b/>
                <w:sz w:val="32"/>
                <w:szCs w:val="32"/>
              </w:rPr>
              <w:t>ID</w:t>
            </w:r>
          </w:p>
        </w:tc>
        <w:tc>
          <w:tcPr>
            <w:tcW w:w="3179" w:type="dxa"/>
            <w:tcBorders>
              <w:top w:val="single" w:sz="4" w:space="0" w:color="auto"/>
              <w:left w:val="single" w:sz="4" w:space="0" w:color="auto"/>
              <w:bottom w:val="single" w:sz="4" w:space="0" w:color="auto"/>
              <w:right w:val="single" w:sz="4" w:space="0" w:color="auto"/>
            </w:tcBorders>
            <w:hideMark/>
          </w:tcPr>
          <w:p w14:paraId="6E1FAAA2" w14:textId="77777777" w:rsidR="003C1909" w:rsidRDefault="003C1909" w:rsidP="00A360AE">
            <w:pPr>
              <w:pStyle w:val="Normal1"/>
              <w:ind w:right="-560"/>
              <w:jc w:val="center"/>
              <w:rPr>
                <w:b/>
                <w:sz w:val="32"/>
                <w:szCs w:val="32"/>
              </w:rPr>
            </w:pPr>
            <w:r>
              <w:rPr>
                <w:b/>
                <w:sz w:val="32"/>
                <w:szCs w:val="32"/>
              </w:rPr>
              <w:t>Name</w:t>
            </w:r>
          </w:p>
        </w:tc>
        <w:tc>
          <w:tcPr>
            <w:tcW w:w="0" w:type="auto"/>
            <w:tcBorders>
              <w:top w:val="single" w:sz="4" w:space="0" w:color="auto"/>
              <w:left w:val="single" w:sz="4" w:space="0" w:color="auto"/>
              <w:bottom w:val="single" w:sz="4" w:space="0" w:color="auto"/>
              <w:right w:val="single" w:sz="4" w:space="0" w:color="auto"/>
            </w:tcBorders>
            <w:hideMark/>
          </w:tcPr>
          <w:p w14:paraId="4FE1E949" w14:textId="77777777" w:rsidR="003C1909" w:rsidRDefault="003C1909" w:rsidP="00A360AE">
            <w:pPr>
              <w:pStyle w:val="Normal1"/>
              <w:ind w:right="-560"/>
              <w:jc w:val="center"/>
              <w:rPr>
                <w:b/>
                <w:sz w:val="32"/>
                <w:szCs w:val="32"/>
              </w:rPr>
            </w:pPr>
            <w:r>
              <w:rPr>
                <w:b/>
                <w:sz w:val="32"/>
                <w:szCs w:val="32"/>
              </w:rPr>
              <w:t>Email ID</w:t>
            </w:r>
          </w:p>
        </w:tc>
      </w:tr>
      <w:tr w:rsidR="003C1909" w14:paraId="230AA601" w14:textId="77777777" w:rsidTr="00A360AE">
        <w:trPr>
          <w:trHeight w:val="18"/>
        </w:trPr>
        <w:tc>
          <w:tcPr>
            <w:tcW w:w="1555" w:type="dxa"/>
            <w:tcBorders>
              <w:top w:val="single" w:sz="4" w:space="0" w:color="auto"/>
              <w:left w:val="single" w:sz="4" w:space="0" w:color="auto"/>
              <w:bottom w:val="single" w:sz="4" w:space="0" w:color="auto"/>
              <w:right w:val="single" w:sz="4" w:space="0" w:color="auto"/>
            </w:tcBorders>
            <w:hideMark/>
          </w:tcPr>
          <w:p w14:paraId="51D27D18" w14:textId="77B391DC" w:rsidR="004272D5" w:rsidRPr="004272D5" w:rsidRDefault="004272D5" w:rsidP="004272D5">
            <w:pPr>
              <w:pStyle w:val="Normal1"/>
              <w:ind w:right="-560"/>
              <w:rPr>
                <w:sz w:val="28"/>
                <w:szCs w:val="28"/>
              </w:rPr>
            </w:pPr>
            <w:r>
              <w:rPr>
                <w:sz w:val="28"/>
                <w:szCs w:val="28"/>
              </w:rPr>
              <w:t xml:space="preserve">  </w:t>
            </w:r>
            <w:r w:rsidRPr="004272D5">
              <w:rPr>
                <w:sz w:val="28"/>
                <w:szCs w:val="28"/>
              </w:rPr>
              <w:t>2503600</w:t>
            </w:r>
          </w:p>
        </w:tc>
        <w:tc>
          <w:tcPr>
            <w:tcW w:w="3179" w:type="dxa"/>
            <w:tcBorders>
              <w:top w:val="single" w:sz="4" w:space="0" w:color="auto"/>
              <w:left w:val="single" w:sz="4" w:space="0" w:color="auto"/>
              <w:bottom w:val="single" w:sz="4" w:space="0" w:color="auto"/>
              <w:right w:val="single" w:sz="4" w:space="0" w:color="auto"/>
            </w:tcBorders>
            <w:hideMark/>
          </w:tcPr>
          <w:p w14:paraId="1315ECCB" w14:textId="780C7CAE" w:rsidR="003C1909" w:rsidRDefault="004272D5" w:rsidP="004272D5">
            <w:pPr>
              <w:pStyle w:val="Normal1"/>
              <w:ind w:right="-560"/>
              <w:rPr>
                <w:sz w:val="28"/>
                <w:szCs w:val="28"/>
              </w:rPr>
            </w:pPr>
            <w:r>
              <w:rPr>
                <w:sz w:val="32"/>
                <w:szCs w:val="32"/>
              </w:rPr>
              <w:t xml:space="preserve">      </w:t>
            </w:r>
            <w:r w:rsidRPr="004272D5">
              <w:rPr>
                <w:sz w:val="32"/>
                <w:szCs w:val="32"/>
              </w:rPr>
              <w:t>Aamna Nosheen</w:t>
            </w:r>
          </w:p>
        </w:tc>
        <w:tc>
          <w:tcPr>
            <w:tcW w:w="0" w:type="auto"/>
            <w:tcBorders>
              <w:top w:val="single" w:sz="4" w:space="0" w:color="auto"/>
              <w:left w:val="single" w:sz="4" w:space="0" w:color="auto"/>
              <w:bottom w:val="single" w:sz="4" w:space="0" w:color="auto"/>
              <w:right w:val="single" w:sz="4" w:space="0" w:color="auto"/>
            </w:tcBorders>
            <w:hideMark/>
          </w:tcPr>
          <w:p w14:paraId="4B29F0E0" w14:textId="4AA470BD" w:rsidR="003C1909" w:rsidRDefault="004272D5" w:rsidP="00A360AE">
            <w:pPr>
              <w:pStyle w:val="NormalWeb"/>
              <w:spacing w:before="0" w:beforeAutospacing="0" w:after="0" w:afterAutospacing="0"/>
              <w:jc w:val="center"/>
              <w:rPr>
                <w:rFonts w:ascii="Calibri" w:hAnsi="Calibri" w:cs="Calibri"/>
              </w:rPr>
            </w:pPr>
            <w:r w:rsidRPr="004272D5">
              <w:rPr>
                <w:rFonts w:ascii="Calibri" w:hAnsi="Calibri" w:cs="Calibri"/>
                <w:color w:val="2E74B5" w:themeColor="accent5" w:themeShade="BF"/>
              </w:rPr>
              <w:t>2503600@students.au.edu.pk</w:t>
            </w:r>
          </w:p>
        </w:tc>
      </w:tr>
      <w:tr w:rsidR="003C1909" w14:paraId="65494CBC" w14:textId="77777777" w:rsidTr="00A360AE">
        <w:trPr>
          <w:trHeight w:val="494"/>
        </w:trPr>
        <w:tc>
          <w:tcPr>
            <w:tcW w:w="1555" w:type="dxa"/>
            <w:tcBorders>
              <w:top w:val="single" w:sz="4" w:space="0" w:color="auto"/>
              <w:left w:val="single" w:sz="4" w:space="0" w:color="auto"/>
              <w:bottom w:val="single" w:sz="4" w:space="0" w:color="auto"/>
              <w:right w:val="single" w:sz="4" w:space="0" w:color="auto"/>
            </w:tcBorders>
            <w:hideMark/>
          </w:tcPr>
          <w:p w14:paraId="6A8F4C07" w14:textId="0A59917B" w:rsidR="003C1909" w:rsidRPr="004272D5" w:rsidRDefault="004272D5" w:rsidP="004272D5">
            <w:pPr>
              <w:pStyle w:val="Normal1"/>
              <w:ind w:right="-560"/>
              <w:rPr>
                <w:sz w:val="28"/>
                <w:szCs w:val="28"/>
              </w:rPr>
            </w:pPr>
            <w:r>
              <w:rPr>
                <w:sz w:val="28"/>
                <w:szCs w:val="28"/>
              </w:rPr>
              <w:t xml:space="preserve">  </w:t>
            </w:r>
            <w:r w:rsidRPr="004272D5">
              <w:rPr>
                <w:sz w:val="28"/>
                <w:szCs w:val="28"/>
              </w:rPr>
              <w:t>2503644</w:t>
            </w:r>
          </w:p>
        </w:tc>
        <w:tc>
          <w:tcPr>
            <w:tcW w:w="3179" w:type="dxa"/>
            <w:tcBorders>
              <w:top w:val="single" w:sz="4" w:space="0" w:color="auto"/>
              <w:left w:val="single" w:sz="4" w:space="0" w:color="auto"/>
              <w:bottom w:val="single" w:sz="4" w:space="0" w:color="auto"/>
              <w:right w:val="single" w:sz="4" w:space="0" w:color="auto"/>
            </w:tcBorders>
            <w:hideMark/>
          </w:tcPr>
          <w:p w14:paraId="16649651" w14:textId="7A141D1C" w:rsidR="003C1909" w:rsidRDefault="004272D5" w:rsidP="004272D5">
            <w:pPr>
              <w:pStyle w:val="NormalWeb"/>
              <w:spacing w:before="0" w:beforeAutospacing="0" w:after="0" w:afterAutospacing="0"/>
              <w:jc w:val="center"/>
              <w:rPr>
                <w:rFonts w:ascii="Arial" w:hAnsi="Arial" w:cs="Arial"/>
                <w:sz w:val="28"/>
                <w:szCs w:val="28"/>
              </w:rPr>
            </w:pPr>
            <w:r>
              <w:rPr>
                <w:rFonts w:ascii="Arial" w:hAnsi="Arial" w:cs="Arial"/>
                <w:sz w:val="28"/>
                <w:szCs w:val="28"/>
              </w:rPr>
              <w:t>Kinza Eman</w:t>
            </w:r>
          </w:p>
        </w:tc>
        <w:tc>
          <w:tcPr>
            <w:tcW w:w="0" w:type="auto"/>
            <w:tcBorders>
              <w:top w:val="single" w:sz="4" w:space="0" w:color="auto"/>
              <w:left w:val="single" w:sz="4" w:space="0" w:color="auto"/>
              <w:bottom w:val="single" w:sz="4" w:space="0" w:color="auto"/>
              <w:right w:val="single" w:sz="4" w:space="0" w:color="auto"/>
            </w:tcBorders>
            <w:hideMark/>
          </w:tcPr>
          <w:p w14:paraId="2BE758E0" w14:textId="0DEB3FA9" w:rsidR="003C1909" w:rsidRDefault="004272D5" w:rsidP="00A360AE">
            <w:pPr>
              <w:pStyle w:val="NormalWeb"/>
              <w:spacing w:before="0" w:beforeAutospacing="0" w:after="0" w:afterAutospacing="0"/>
              <w:jc w:val="center"/>
              <w:rPr>
                <w:rFonts w:ascii="Calibri" w:hAnsi="Calibri" w:cs="Calibri"/>
              </w:rPr>
            </w:pPr>
            <w:r w:rsidRPr="004272D5">
              <w:rPr>
                <w:rFonts w:ascii="Calibri" w:hAnsi="Calibri" w:cs="Calibri"/>
                <w:color w:val="2E74B5" w:themeColor="accent5" w:themeShade="BF"/>
              </w:rPr>
              <w:t>2503644@students.au.edu.pk</w:t>
            </w:r>
          </w:p>
        </w:tc>
      </w:tr>
      <w:tr w:rsidR="003C1909" w14:paraId="3E0D0CE7" w14:textId="77777777" w:rsidTr="00A360AE">
        <w:trPr>
          <w:trHeight w:val="509"/>
        </w:trPr>
        <w:tc>
          <w:tcPr>
            <w:tcW w:w="1555" w:type="dxa"/>
            <w:tcBorders>
              <w:top w:val="single" w:sz="4" w:space="0" w:color="auto"/>
              <w:left w:val="single" w:sz="4" w:space="0" w:color="auto"/>
              <w:bottom w:val="single" w:sz="4" w:space="0" w:color="auto"/>
              <w:right w:val="single" w:sz="4" w:space="0" w:color="auto"/>
            </w:tcBorders>
            <w:hideMark/>
          </w:tcPr>
          <w:p w14:paraId="4811AD73" w14:textId="025B5A41" w:rsidR="003C1909" w:rsidRPr="004272D5" w:rsidRDefault="004272D5" w:rsidP="004272D5">
            <w:pPr>
              <w:pStyle w:val="Normal1"/>
              <w:ind w:right="-560"/>
              <w:rPr>
                <w:sz w:val="28"/>
                <w:szCs w:val="28"/>
              </w:rPr>
            </w:pPr>
            <w:r>
              <w:rPr>
                <w:sz w:val="28"/>
                <w:szCs w:val="28"/>
              </w:rPr>
              <w:t xml:space="preserve">  </w:t>
            </w:r>
            <w:r w:rsidRPr="004272D5">
              <w:rPr>
                <w:sz w:val="28"/>
                <w:szCs w:val="28"/>
              </w:rPr>
              <w:t>2503650</w:t>
            </w:r>
          </w:p>
        </w:tc>
        <w:tc>
          <w:tcPr>
            <w:tcW w:w="3179" w:type="dxa"/>
            <w:tcBorders>
              <w:top w:val="single" w:sz="4" w:space="0" w:color="auto"/>
              <w:left w:val="single" w:sz="4" w:space="0" w:color="auto"/>
              <w:bottom w:val="single" w:sz="4" w:space="0" w:color="auto"/>
              <w:right w:val="single" w:sz="4" w:space="0" w:color="auto"/>
            </w:tcBorders>
            <w:hideMark/>
          </w:tcPr>
          <w:p w14:paraId="6937F6DB" w14:textId="0FC27E69" w:rsidR="003C1909" w:rsidRDefault="004272D5" w:rsidP="004272D5">
            <w:pPr>
              <w:pStyle w:val="NormalWeb"/>
              <w:spacing w:before="0" w:beforeAutospacing="0" w:after="0" w:afterAutospacing="0"/>
              <w:jc w:val="center"/>
              <w:rPr>
                <w:rFonts w:ascii="Arial" w:hAnsi="Arial" w:cs="Arial"/>
                <w:sz w:val="28"/>
                <w:szCs w:val="28"/>
              </w:rPr>
            </w:pPr>
            <w:r>
              <w:rPr>
                <w:rFonts w:ascii="Arial" w:hAnsi="Arial" w:cs="Arial"/>
                <w:sz w:val="28"/>
                <w:szCs w:val="28"/>
              </w:rPr>
              <w:t>Zunaira Hassan</w:t>
            </w:r>
          </w:p>
        </w:tc>
        <w:tc>
          <w:tcPr>
            <w:tcW w:w="0" w:type="auto"/>
            <w:tcBorders>
              <w:top w:val="single" w:sz="4" w:space="0" w:color="auto"/>
              <w:left w:val="single" w:sz="4" w:space="0" w:color="auto"/>
              <w:bottom w:val="single" w:sz="4" w:space="0" w:color="auto"/>
              <w:right w:val="single" w:sz="4" w:space="0" w:color="auto"/>
            </w:tcBorders>
            <w:hideMark/>
          </w:tcPr>
          <w:p w14:paraId="230626D9" w14:textId="20927318" w:rsidR="003C1909" w:rsidRDefault="004272D5" w:rsidP="00A360AE">
            <w:pPr>
              <w:pStyle w:val="NormalWeb"/>
              <w:spacing w:before="0" w:beforeAutospacing="0" w:after="0" w:afterAutospacing="0"/>
              <w:rPr>
                <w:rFonts w:ascii="Calibri" w:hAnsi="Calibri" w:cs="Calibri"/>
              </w:rPr>
            </w:pPr>
            <w:r>
              <w:rPr>
                <w:rFonts w:ascii="Calibri" w:hAnsi="Calibri" w:cs="Calibri"/>
              </w:rPr>
              <w:t xml:space="preserve">                  </w:t>
            </w:r>
            <w:r w:rsidRPr="004272D5">
              <w:rPr>
                <w:rFonts w:ascii="Calibri" w:hAnsi="Calibri" w:cs="Calibri"/>
                <w:color w:val="2E74B5" w:themeColor="accent5" w:themeShade="BF"/>
              </w:rPr>
              <w:t>2503650@students.au.edu.pk</w:t>
            </w:r>
          </w:p>
        </w:tc>
      </w:tr>
    </w:tbl>
    <w:p w14:paraId="15B4CAFE" w14:textId="77777777" w:rsidR="003C1909" w:rsidRDefault="003C1909" w:rsidP="003C1909"/>
    <w:p w14:paraId="53DC3A47" w14:textId="77777777" w:rsidR="003C1909" w:rsidRDefault="003C1909" w:rsidP="003C1909"/>
    <w:p w14:paraId="51ACAF06" w14:textId="77777777" w:rsidR="004272D5" w:rsidRDefault="004272D5" w:rsidP="004272D5">
      <w:pPr>
        <w:pStyle w:val="papertitle"/>
        <w:spacing w:before="100" w:beforeAutospacing="1" w:after="100" w:afterAutospacing="1"/>
        <w:sectPr w:rsidR="004272D5">
          <w:footerReference w:type="default" r:id="rId8"/>
          <w:pgSz w:w="12240" w:h="15840"/>
          <w:pgMar w:top="1440" w:right="1440" w:bottom="1440" w:left="1440" w:header="720" w:footer="720" w:gutter="0"/>
          <w:cols w:space="720"/>
          <w:docGrid w:linePitch="360"/>
        </w:sectPr>
      </w:pPr>
    </w:p>
    <w:p w14:paraId="61AFC404" w14:textId="77777777" w:rsidR="004272D5" w:rsidRDefault="004272D5" w:rsidP="004272D5">
      <w:pPr>
        <w:pStyle w:val="papertitle"/>
        <w:spacing w:before="100" w:beforeAutospacing="1" w:after="100" w:afterAutospacing="1"/>
        <w:jc w:val="left"/>
      </w:pPr>
      <w:r>
        <w:lastRenderedPageBreak/>
        <w:t>Feeding the Few: Mapping Inequality Behind Pakistan’s Hunger Crisis</w:t>
      </w:r>
    </w:p>
    <w:p w14:paraId="2EFFB468" w14:textId="77777777" w:rsidR="004272D5" w:rsidRDefault="004272D5" w:rsidP="004272D5">
      <w:pPr>
        <w:pStyle w:val="Abstract"/>
      </w:pPr>
      <w:r>
        <w:rPr>
          <w:i/>
          <w:iCs/>
        </w:rPr>
        <w:t>Abstract</w:t>
      </w:r>
      <w:r>
        <w:t>—Pakistan is one of those countries where you can see grocery store shelves full of wheat sacks and still have millions of people going to bed hungry. The gap between what food is available and what people can actually afford has been getting worse over the past decade, and the 2022–2024 inflation crisis made things dramatically more painful for ordinary families. In this project, we want to understand exactly how food prices, poverty, and nutrition are connected in Pakistan – and most importantly, who is being left behind. We are using four datasets: weekly food price data from the Pakistan Bureau of Statistics covering 51 items across 50 cities, World Bank poverty and inequality figures, World Development Indicators, and FAO nutritional supply data going back to 2010. Together these give us thousands of records to work with. Our goal is to find out which cities are hardest hit by food costs, whether nutrition actually improved as poverty numbers dropped, and whether Pakistan’s heavy reliance on wheat is putting people at nutritional risk.</w:t>
      </w:r>
    </w:p>
    <w:p w14:paraId="22B8C34A" w14:textId="77777777" w:rsidR="004272D5" w:rsidRDefault="004272D5" w:rsidP="004272D5">
      <w:pPr>
        <w:pStyle w:val="Keywords"/>
      </w:pPr>
      <w:r>
        <w:t>Keywords—food security, Pakistan, price inflation, nutritional inequality, poverty, SPI, World Bank, FAO, data analysis</w:t>
      </w:r>
    </w:p>
    <w:p w14:paraId="2528A8A1" w14:textId="77777777" w:rsidR="004272D5" w:rsidRDefault="004272D5" w:rsidP="004272D5">
      <w:pPr>
        <w:pStyle w:val="Heading1"/>
      </w:pPr>
      <w:r>
        <w:t>I. Introduction</w:t>
      </w:r>
    </w:p>
    <w:p w14:paraId="23D9EB8D" w14:textId="77777777" w:rsidR="004272D5" w:rsidRDefault="004272D5" w:rsidP="004272D5">
      <w:pPr>
        <w:pStyle w:val="BodyText"/>
      </w:pPr>
      <w:r>
        <w:t>If you walk through any market in Lahore or Karachi today, you will notice something strange: the market is packed with food, and yet millions of people cannot afford enough of it. Pakistan produces wheat, rice, sugarcane, and many other crops in huge quantities, but a big portion of the population is still struggling to eat properly. According to the Pakistan Bureau of Statistics, around 37 percent of Pakistanis were living below the national poverty line as recently as 2019 [1]. That number may have improved slightly since then, but the food security situation has arguably gotten worse because of inflation.</w:t>
      </w:r>
    </w:p>
    <w:p w14:paraId="7A2E4980" w14:textId="51ED1AF2" w:rsidR="004272D5" w:rsidRDefault="004272D5" w:rsidP="004272D5">
      <w:pPr>
        <w:pStyle w:val="BodyText"/>
      </w:pPr>
      <w:r>
        <w:t xml:space="preserve">Between 2022 and 2024, food prices in Pakistan shot up dramatically. The government was dealing with a foreign exchange crisis, fuel prices went through the roof, and the floods of 2022 destroyed crops in Sindh and </w:t>
      </w:r>
      <w:proofErr w:type="spellStart"/>
      <w:r>
        <w:t>Balochistan</w:t>
      </w:r>
      <w:proofErr w:type="spellEnd"/>
      <w:r>
        <w:t>. All of this hit food prices hard. By early 2023, food inflation was officially above 48 percent, meaning that a basket of groceries that cost Rs. 1,000 a year earlier now cost almost Rs. 1,500. For a family earning Rs. 30,000 a month, this was absolutely crushing. Many households had to cut out entire food groups from their diet just to survive.</w:t>
      </w:r>
    </w:p>
    <w:p w14:paraId="5CC6A610" w14:textId="77777777" w:rsidR="004272D5" w:rsidRDefault="004272D5" w:rsidP="004272D5">
      <w:pPr>
        <w:pStyle w:val="BodyText"/>
      </w:pPr>
      <w:r>
        <w:t>What makes this even more concerning is the nutritional angle. Pakistan already had issues with protein deficiency, stunted child growth, and micronutrient gaps before the crisis. The question is: did the situation get better or worse? On paper, some poverty indicators improved between 2010 and 2023, but did that actually translate into better food on people’s plates? Or were people just spending more money on the same low-quality diet? These are the kinds of questions we want to answer in this project.</w:t>
      </w:r>
    </w:p>
    <w:p w14:paraId="4BDDA9AD" w14:textId="4330A4C3" w:rsidR="004272D5" w:rsidRDefault="004272D5" w:rsidP="004272D5">
      <w:pPr>
        <w:pStyle w:val="BodyText"/>
      </w:pPr>
      <w:r>
        <w:t>There is also the inequality dimension. Pakistan is not a homogeneous country. A salaried government employee in Islamabad and a daily-wage labourer in a rural district of Khyber Pakhtunkhwa live in completely different economic realities. When we talk about "average" nutrition or "average" prices, we are hiding a lot of variation. Our project tries to break that down and show which cities, which income levels, and which parts of the country are facing the worst food security outcomes.</w:t>
      </w:r>
    </w:p>
    <w:p w14:paraId="11C320FA" w14:textId="77777777" w:rsidR="004272D5" w:rsidRDefault="004272D5" w:rsidP="004272D5">
      <w:pPr>
        <w:pStyle w:val="Heading2"/>
      </w:pPr>
      <w:r>
        <w:t>A. Problem Statement</w:t>
      </w:r>
    </w:p>
    <w:p w14:paraId="05D4C31B" w14:textId="77777777" w:rsidR="004272D5" w:rsidRDefault="004272D5" w:rsidP="004272D5">
      <w:pPr>
        <w:pStyle w:val="BodyText"/>
      </w:pPr>
      <w:r>
        <w:t>The core problem we are studying is this: despite some progress in reducing poverty rates, food insecurity in Pakistan remains deeply embedded and unequal. Rising food prices are eating into household budgets, nutritional quality has not kept pace with economic growth, and the most vulnerable groups – the poor, the rural, the informal workers – are consistently being left behind. We want to trace exactly how these three forces – prices, poverty, and nutrition – have interacted over the past 14 years.</w:t>
      </w:r>
    </w:p>
    <w:p w14:paraId="4E4DA3B2" w14:textId="77777777" w:rsidR="004272D5" w:rsidRDefault="004272D5" w:rsidP="004272D5">
      <w:pPr>
        <w:pStyle w:val="BodyText"/>
      </w:pPr>
      <w:r>
        <w:t>This is important not just academically but practically. If we can show, with actual data, that a specific city consistently has unaffordable food baskets relative to local incomes, or that protein availability declined even in years when GDP grew, that is the kind of evidence that should inform government budgets, subsidy programs, and food policy decisions.</w:t>
      </w:r>
    </w:p>
    <w:p w14:paraId="138DC90C" w14:textId="77777777" w:rsidR="004272D5" w:rsidRDefault="004272D5" w:rsidP="004272D5">
      <w:pPr>
        <w:pStyle w:val="Heading2"/>
      </w:pPr>
      <w:r>
        <w:t>B. Research Questions</w:t>
      </w:r>
    </w:p>
    <w:p w14:paraId="41667B9F" w14:textId="77777777" w:rsidR="004272D5" w:rsidRDefault="004272D5" w:rsidP="004272D5">
      <w:pPr>
        <w:pStyle w:val="BodyText"/>
      </w:pPr>
      <w:r>
        <w:t>We have broken our main research question into eight specific sub-questions that we will answer through data analysis:</w:t>
      </w:r>
    </w:p>
    <w:p w14:paraId="13A14753" w14:textId="77777777" w:rsidR="004272D5" w:rsidRDefault="004272D5" w:rsidP="004272D5">
      <w:pPr>
        <w:pStyle w:val="bulletlist"/>
        <w:tabs>
          <w:tab w:val="num" w:pos="648"/>
        </w:tabs>
        <w:ind w:left="648" w:hanging="360"/>
      </w:pPr>
      <w:r>
        <w:t>How have food prices, nutritional availability, and economic inequality together shaped food security in Pakistan from 2010 to 2024, and which population groups are most at risk?</w:t>
      </w:r>
    </w:p>
    <w:p w14:paraId="2D39F659" w14:textId="77777777" w:rsidR="004272D5" w:rsidRDefault="004272D5" w:rsidP="004272D5">
      <w:pPr>
        <w:pStyle w:val="bulletlist"/>
        <w:tabs>
          <w:tab w:val="num" w:pos="648"/>
        </w:tabs>
        <w:ind w:left="648" w:hanging="360"/>
      </w:pPr>
      <w:r>
        <w:t>How much did the price of basic food items rise between August 2023 and October 2024, and which specific items became the least affordable for a typical household?</w:t>
      </w:r>
    </w:p>
    <w:p w14:paraId="23AC7AD7" w14:textId="77777777" w:rsidR="004272D5" w:rsidRDefault="004272D5" w:rsidP="004272D5">
      <w:pPr>
        <w:pStyle w:val="bulletlist"/>
        <w:tabs>
          <w:tab w:val="num" w:pos="648"/>
        </w:tabs>
        <w:ind w:left="648" w:hanging="360"/>
      </w:pPr>
      <w:r>
        <w:t>As Pakistan’s official poverty rate fell between 2010 and 2023, did the nutritional quality of food supply actually improve for the average person, or did it stay the same?</w:t>
      </w:r>
    </w:p>
    <w:p w14:paraId="7ACF076A" w14:textId="77777777" w:rsidR="004272D5" w:rsidRDefault="004272D5" w:rsidP="004272D5">
      <w:pPr>
        <w:pStyle w:val="bulletlist"/>
        <w:tabs>
          <w:tab w:val="num" w:pos="648"/>
        </w:tabs>
        <w:ind w:left="648" w:hanging="360"/>
      </w:pPr>
      <w:r>
        <w:t xml:space="preserve">Is Pakistan’s caloric supply dangerously concentrated on wheat, and is this wheat </w:t>
      </w:r>
      <w:r>
        <w:lastRenderedPageBreak/>
        <w:t>dependency increasing or decreasing over time based on FAO data?</w:t>
      </w:r>
    </w:p>
    <w:p w14:paraId="735C75E0" w14:textId="77777777" w:rsidR="004272D5" w:rsidRDefault="004272D5" w:rsidP="004272D5">
      <w:pPr>
        <w:pStyle w:val="bulletlist"/>
        <w:tabs>
          <w:tab w:val="num" w:pos="648"/>
        </w:tabs>
        <w:ind w:left="648" w:hanging="360"/>
      </w:pPr>
      <w:r>
        <w:t>Does Pakistan’s food supply provide enough protein per person per day to meet WHO’s recommended intake, and how does any shortfall vary with poverty and inequality levels?</w:t>
      </w:r>
    </w:p>
    <w:p w14:paraId="3D2302B1" w14:textId="77777777" w:rsidR="004272D5" w:rsidRDefault="004272D5" w:rsidP="004272D5">
      <w:pPr>
        <w:pStyle w:val="Heading1"/>
      </w:pPr>
      <w:r>
        <w:t>II. Data Collection</w:t>
      </w:r>
    </w:p>
    <w:p w14:paraId="032B24EF" w14:textId="77777777" w:rsidR="004272D5" w:rsidRDefault="004272D5" w:rsidP="004272D5">
      <w:pPr>
        <w:pStyle w:val="BodyText"/>
      </w:pPr>
      <w:r>
        <w:t>We are using four datasets for this project, all of them publicly available from official government or international sources. Each one covers a different piece of the puzzle: food prices, poverty and inequality, overall economic indicators, and nutritional supply. None of these datasets came pre-cleaned and ready to use, which is part of why we chose them. The real work of data science is in handling messy, inconsistent, real-world data, and all four of these give us plenty of that challenge.</w:t>
      </w:r>
    </w:p>
    <w:p w14:paraId="29349621" w14:textId="77777777" w:rsidR="004272D5" w:rsidRDefault="004272D5" w:rsidP="004272D5">
      <w:pPr>
        <w:pStyle w:val="Heading2"/>
      </w:pPr>
      <w:r>
        <w:t>A. Sensitive Price Indicator (SPI) – Pakistan Bureau of Statistics</w:t>
      </w:r>
    </w:p>
    <w:p w14:paraId="61703765" w14:textId="09B6D9C1" w:rsidR="004272D5" w:rsidRDefault="004272D5" w:rsidP="004272D5">
      <w:pPr>
        <w:pStyle w:val="BodyText"/>
      </w:pPr>
      <w:r>
        <w:rPr>
          <w:b/>
          <w:bCs/>
        </w:rPr>
        <w:t xml:space="preserve">Source: </w:t>
      </w:r>
      <w:hyperlink r:id="rId9" w:history="1">
        <w:r w:rsidRPr="004272D5">
          <w:rPr>
            <w:rStyle w:val="Hyperlink"/>
          </w:rPr>
          <w:t>https://www.pbs.gov.pk/</w:t>
        </w:r>
      </w:hyperlink>
    </w:p>
    <w:p w14:paraId="290A1282" w14:textId="77777777" w:rsidR="004272D5" w:rsidRDefault="004272D5" w:rsidP="004272D5">
      <w:pPr>
        <w:pStyle w:val="BodyText"/>
      </w:pPr>
      <w:r>
        <w:t>This is our most detailed and most interesting dataset. Every week, the Pakistan Bureau of Statistics collects retail prices for 51 essential commodities from markets across 50 cities in Pakistan. These items include staples like wheat flour, rice, sugar, cooking oil, onions, tomatoes, chicken, eggs, and pulses. The SPI is published weekly and is actually used by the government to monitor inflation at the household level, so it is a very practical, real-world dataset.</w:t>
      </w:r>
    </w:p>
    <w:p w14:paraId="0274BF86" w14:textId="77777777" w:rsidR="004272D5" w:rsidRDefault="004272D5" w:rsidP="004272D5">
      <w:pPr>
        <w:pStyle w:val="BodyText"/>
      </w:pPr>
      <w:r>
        <w:t xml:space="preserve">Our file (spi_prices.csv) covers the period from August 2023 to October 2024, giving us about 14 months of weekly data. That works out to over 3,500 rows when </w:t>
      </w:r>
      <w:proofErr w:type="spellStart"/>
      <w:r>
        <w:t>you</w:t>
      </w:r>
      <w:proofErr w:type="spellEnd"/>
      <w:r>
        <w:t xml:space="preserve"> account for all commodities, cities, and weeks. The columns include the commodity name, the city, the current week’s price, the previous week’s price, and the percentage change. This alone lets us do a lot: track which items inflated the most, compare prices across cities, calculate how much a basic food basket costs in different locations, and identify which commodities have the most unstable week-to-week prices.</w:t>
      </w:r>
    </w:p>
    <w:p w14:paraId="53E4374B" w14:textId="77777777" w:rsidR="004272D5" w:rsidRDefault="004272D5" w:rsidP="004272D5">
      <w:pPr>
        <w:pStyle w:val="BodyText"/>
      </w:pPr>
      <w:r>
        <w:t>The cleaning challenges are real. City names are sometimes spelled differently across rows. Some commodity names have extra spaces or inconsistent capitalization. There are occasional missing values when a price was not reported for a particular week in a particular city. We also need to decide how to handle clear outliers – for example, if tomato prices spike 300 percent in one week, is that a data error or a real market shock? Working through these decisions is exactly the kind of data-cleaning experience this project is meant to provide.</w:t>
      </w:r>
    </w:p>
    <w:p w14:paraId="752A1A40" w14:textId="77777777" w:rsidR="004272D5" w:rsidRDefault="004272D5" w:rsidP="004272D5">
      <w:pPr>
        <w:pStyle w:val="Heading2"/>
      </w:pPr>
      <w:r>
        <w:t>B. World Bank Poverty Indicators for Pakistan</w:t>
      </w:r>
    </w:p>
    <w:p w14:paraId="6B3E1091" w14:textId="46455F59" w:rsidR="004272D5" w:rsidRDefault="004272D5" w:rsidP="004272D5">
      <w:pPr>
        <w:pStyle w:val="BodyText"/>
      </w:pPr>
      <w:r>
        <w:rPr>
          <w:b/>
          <w:bCs/>
        </w:rPr>
        <w:t xml:space="preserve">Source: </w:t>
      </w:r>
      <w:hyperlink r:id="rId10" w:history="1">
        <w:r w:rsidRPr="004272D5">
          <w:rPr>
            <w:rStyle w:val="Hyperlink"/>
          </w:rPr>
          <w:t>https://data.humdata.org/dataset/world-bank-poverty-indicators-for-pakistan</w:t>
        </w:r>
      </w:hyperlink>
    </w:p>
    <w:p w14:paraId="470E8CAD" w14:textId="77777777" w:rsidR="004272D5" w:rsidRDefault="004272D5" w:rsidP="004272D5">
      <w:pPr>
        <w:pStyle w:val="BodyText"/>
      </w:pPr>
      <w:r>
        <w:t>This dataset (poverty_pak.csv) comes from the Humanitarian Data Exchange platform and contains annual poverty and inequality data for Pakistan compiled by the World Bank. The key variables we are working with include the poverty headcount ratio (the percentage of people living below the poverty line, measured at both national and international thresholds), the Gini coefficient (a standard measure of income inequality where 0 means perfect equality and 1 means one person has everything), and consumption-based welfare indices.</w:t>
      </w:r>
    </w:p>
    <w:p w14:paraId="1437A862" w14:textId="77777777" w:rsidR="004272D5" w:rsidRDefault="004272D5" w:rsidP="004272D5">
      <w:pPr>
        <w:pStyle w:val="BodyText"/>
      </w:pPr>
      <w:r>
        <w:t>The data spans roughly from 2002 to 2023, though not every year has an observation because poverty surveys in Pakistan are not conducted annually – they happen every few years. This means the dataset has gaps, and one of our tasks will be to handle those gaps sensibly, either through interpolation or by being careful about which years we compare. Despite having fewer rows than the SPI data (around 200 records), the poverty dataset is analytically rich because each row packs in a lot of meaning about economic conditions in a given year.</w:t>
      </w:r>
    </w:p>
    <w:p w14:paraId="364381C8" w14:textId="77777777" w:rsidR="004272D5" w:rsidRDefault="004272D5" w:rsidP="004272D5">
      <w:pPr>
        <w:pStyle w:val="BodyText"/>
      </w:pPr>
      <w:r>
        <w:t>This dataset directly helps us answer questions about whether falling poverty rates translated into better nutrition, and whether higher inequality correlates with worse protein availability. Linking it with the FAO data across matching years is one of the more interesting data integration challenges of this project.</w:t>
      </w:r>
    </w:p>
    <w:p w14:paraId="56D6A8C0" w14:textId="77777777" w:rsidR="004272D5" w:rsidRDefault="004272D5" w:rsidP="004272D5">
      <w:pPr>
        <w:pStyle w:val="Heading2"/>
      </w:pPr>
      <w:r>
        <w:t>C. World Development Indicators – World Bank</w:t>
      </w:r>
    </w:p>
    <w:p w14:paraId="0414B874" w14:textId="55F16090" w:rsidR="004272D5" w:rsidRDefault="004272D5" w:rsidP="004272D5">
      <w:pPr>
        <w:pStyle w:val="BodyText"/>
      </w:pPr>
      <w:r>
        <w:rPr>
          <w:b/>
          <w:bCs/>
        </w:rPr>
        <w:t xml:space="preserve">Source: </w:t>
      </w:r>
      <w:hyperlink r:id="rId11" w:history="1">
        <w:r w:rsidRPr="00F55F1D">
          <w:rPr>
            <w:rStyle w:val="Hyperlink"/>
          </w:rPr>
          <w:t>https://databank.worldbank.org/source/world-development-indicators</w:t>
        </w:r>
      </w:hyperlink>
    </w:p>
    <w:p w14:paraId="29F4E06E" w14:textId="4C95C979" w:rsidR="004272D5" w:rsidRDefault="004272D5" w:rsidP="004272D5">
      <w:pPr>
        <w:pStyle w:val="BodyText"/>
      </w:pPr>
      <w:r>
        <w:t xml:space="preserve">The World Development Indicators (WDI) dataset (worldbank_pakistan_processed.csv) is a standard macroeconomic dataset from the World Bank’s </w:t>
      </w:r>
      <w:r w:rsidR="00F55F1D">
        <w:t>Databank</w:t>
      </w:r>
      <w:r>
        <w:t xml:space="preserve"> system. For Pakistan, it includes annual values for indicators like GDP per capita (in constant US dollars), consumer price inflation, unemployment rate, percentage of population in rural areas, and various access-to-services measures. Our processed version covers 2000 to 2023 and contains over 600 records across multiple indicator-year combinations.</w:t>
      </w:r>
    </w:p>
    <w:p w14:paraId="3252AED5" w14:textId="77777777" w:rsidR="004272D5" w:rsidRDefault="004272D5" w:rsidP="004272D5">
      <w:pPr>
        <w:pStyle w:val="BodyText"/>
      </w:pPr>
      <w:r>
        <w:t xml:space="preserve">This dataset provides the economic context that makes everything else make sense. For example, if protein availability dropped in 2023, was that because of income inequality, or because of general economic contraction? The WDI data lets us control for broader economic conditions. It also comes in a wide format from the </w:t>
      </w:r>
      <w:proofErr w:type="spellStart"/>
      <w:r>
        <w:t>DataBank</w:t>
      </w:r>
      <w:proofErr w:type="spellEnd"/>
      <w:r>
        <w:t xml:space="preserve"> (years as columns, indicators as rows), so one of our first tasks will be to reshape it into a long format that is easier to work with in Python.</w:t>
      </w:r>
    </w:p>
    <w:p w14:paraId="2909F72C" w14:textId="77777777" w:rsidR="004272D5" w:rsidRDefault="004272D5" w:rsidP="004272D5">
      <w:pPr>
        <w:pStyle w:val="BodyText"/>
      </w:pPr>
      <w:r>
        <w:t xml:space="preserve">There are also missing values coded as special characters in the raw download, and indicator names come with long technical descriptions that we will need to simplify. These are very typical data </w:t>
      </w:r>
      <w:r>
        <w:lastRenderedPageBreak/>
        <w:t>engineering tasks that students working with government data will encounter in real projects.</w:t>
      </w:r>
    </w:p>
    <w:p w14:paraId="7E5C2BFF" w14:textId="77777777" w:rsidR="004272D5" w:rsidRDefault="004272D5" w:rsidP="004272D5">
      <w:pPr>
        <w:pStyle w:val="Heading2"/>
      </w:pPr>
      <w:r>
        <w:t>D. FAO Food Balance Sheets – Pakistan</w:t>
      </w:r>
    </w:p>
    <w:p w14:paraId="3110CDBF" w14:textId="77777777" w:rsidR="004272D5" w:rsidRDefault="004272D5" w:rsidP="004272D5">
      <w:pPr>
        <w:pStyle w:val="BodyText"/>
      </w:pPr>
      <w:r>
        <w:rPr>
          <w:b/>
          <w:bCs/>
        </w:rPr>
        <w:t xml:space="preserve">Source: </w:t>
      </w:r>
      <w:hyperlink r:id="rId12" w:anchor="data/FBS" w:history="1">
        <w:r w:rsidRPr="00CD4AFF">
          <w:rPr>
            <w:rStyle w:val="Hyperlink"/>
          </w:rPr>
          <w:t>https://www.fao.org/faostat/en/#data/FBS</w:t>
        </w:r>
      </w:hyperlink>
    </w:p>
    <w:p w14:paraId="6CB1F8D1" w14:textId="77777777" w:rsidR="004272D5" w:rsidRDefault="004272D5" w:rsidP="004272D5">
      <w:pPr>
        <w:pStyle w:val="BodyText"/>
      </w:pPr>
      <w:r>
        <w:t>The FAO Food Balance Sheet dataset (FAO_food_supply_pakistan.csv) is perhaps the most directly nutritional dataset we are using. Published annually by the Food and Agriculture Organization of the United Nations, it estimates how much food of each type was available per person per day in Pakistan, broken down by calories, protein, and fat. It covers an enormous time range – back to 1961 – but our working subset focuses on 2010 to 2022, which gives us over 800 records organized by food commodity category.</w:t>
      </w:r>
    </w:p>
    <w:p w14:paraId="02A3615E" w14:textId="77777777" w:rsidR="004272D5" w:rsidRDefault="004272D5" w:rsidP="004272D5">
      <w:pPr>
        <w:pStyle w:val="BodyText"/>
      </w:pPr>
      <w:r>
        <w:t>The commodities are organized hierarchically: there are broad categories like "cereals" and "animal products" and then specific items within those categories like wheat, rice, beef, and milk. This multi-level structure is one of the cleaning challenges: depending on the analysis, we might want to work at the aggregated level or the detailed level, and we need to avoid double-counting when we sum up nutrient totals.</w:t>
      </w:r>
    </w:p>
    <w:p w14:paraId="50DAF4F1" w14:textId="77777777" w:rsidR="004272D5" w:rsidRDefault="004272D5" w:rsidP="004272D5">
      <w:pPr>
        <w:pStyle w:val="BodyText"/>
      </w:pPr>
      <w:r>
        <w:t>This dataset is central to several of our research questions. We can directly compare Pakistan’s per-capita protein supply against the WHO’s recommended 50–60 grams per person per day and see how the gap has changed over time. We can also calculate what fraction of calories come from wheat each year, which tells us about dietary dependency and dietary diversity. When we combine this with the poverty and inequality data, we can test whether years with higher Gini coefficients also tend to show lower protein availability, which would be a meaningful and policy-relevant finding.</w:t>
      </w:r>
    </w:p>
    <w:p w14:paraId="7AF39851" w14:textId="77777777" w:rsidR="004272D5" w:rsidRDefault="004272D5" w:rsidP="004272D5">
      <w:pPr>
        <w:pStyle w:val="Heading2"/>
      </w:pPr>
      <w:r>
        <w:t>E. Why These Four Datasets Together</w:t>
      </w:r>
    </w:p>
    <w:p w14:paraId="6E27594E" w14:textId="77777777" w:rsidR="004272D5" w:rsidRDefault="004272D5" w:rsidP="004272D5">
      <w:pPr>
        <w:pStyle w:val="BodyText"/>
      </w:pPr>
      <w:r>
        <w:t>Each dataset by itself answers one question. The SPI tells you what food costs. The poverty data tells you what people earn and how unequal the distribution is. The WDI gives you the macroeconomic backdrop. And the FAO data tells you what nutrients were actually available in the food supply. None of these alone gives you the full picture of food security, but together they let you trace the problem from multiple angles at once.</w:t>
      </w:r>
      <w:r w:rsidRPr="00CD4AFF">
        <w:rPr>
          <w:lang w:val="en-US"/>
        </w:rPr>
        <w:t> In a country where food inflation remains a leading driver of economic hardship, data-backed insights are not just academically significant</w:t>
      </w:r>
      <w:r>
        <w:rPr>
          <w:lang w:val="en-US"/>
        </w:rPr>
        <w:t xml:space="preserve">; </w:t>
      </w:r>
      <w:r w:rsidRPr="00CD4AFF">
        <w:rPr>
          <w:lang w:val="en-US"/>
        </w:rPr>
        <w:t>they are urgently needed.</w:t>
      </w:r>
    </w:p>
    <w:p w14:paraId="7699E52B" w14:textId="77777777" w:rsidR="004272D5" w:rsidRDefault="004272D5" w:rsidP="004272D5">
      <w:pPr>
        <w:pStyle w:val="BodyText"/>
      </w:pPr>
      <w:r>
        <w:t xml:space="preserve">Combining them also creates interesting data science challenges. The SPI is weekly and city-level. The poverty and WDI data are annual and national. The FAO data is annual and national but organized by food group. Merging these across different time granularities and geographic scales requires careful thinking about what comparisons are valid and what assumptions we are making. This is exactly the kind </w:t>
      </w:r>
      <w:r>
        <w:t>of complexity that makes a data science project worth doing.</w:t>
      </w:r>
    </w:p>
    <w:p w14:paraId="3149F031" w14:textId="2602FFB8" w:rsidR="0061662C" w:rsidRDefault="0061662C" w:rsidP="0061662C">
      <w:pPr>
        <w:pStyle w:val="Heading2"/>
      </w:pPr>
      <w:r>
        <w:t>Variables in the datasets</w:t>
      </w:r>
    </w:p>
    <w:p w14:paraId="334FA48C" w14:textId="1E517469" w:rsidR="0061662C" w:rsidRPr="00A006DA" w:rsidRDefault="0061662C" w:rsidP="0061662C">
      <w:pPr>
        <w:rPr>
          <w:rFonts w:ascii="Times New Roman" w:hAnsi="Times New Roman" w:cs="Times New Roman"/>
          <w:sz w:val="18"/>
          <w:szCs w:val="18"/>
        </w:rPr>
      </w:pPr>
      <w:r w:rsidRPr="00A006DA">
        <w:rPr>
          <w:rFonts w:ascii="Times New Roman" w:hAnsi="Times New Roman" w:cs="Times New Roman"/>
          <w:sz w:val="18"/>
          <w:szCs w:val="18"/>
        </w:rPr>
        <w:t>TABLE I                DATASET DESCRIPTION</w:t>
      </w:r>
    </w:p>
    <w:tbl>
      <w:tblPr>
        <w:tblStyle w:val="GridTable4-Accent5"/>
        <w:tblW w:w="4512" w:type="dxa"/>
        <w:tblLayout w:type="fixed"/>
        <w:tblLook w:val="04A0" w:firstRow="1" w:lastRow="0" w:firstColumn="1" w:lastColumn="0" w:noHBand="0" w:noVBand="1"/>
      </w:tblPr>
      <w:tblGrid>
        <w:gridCol w:w="679"/>
        <w:gridCol w:w="1576"/>
        <w:gridCol w:w="2257"/>
      </w:tblGrid>
      <w:tr w:rsidR="007F48A4" w:rsidRPr="00A006DA" w14:paraId="74ABDE9A" w14:textId="77777777" w:rsidTr="007D1A89">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679" w:type="dxa"/>
            <w:shd w:val="clear" w:color="auto" w:fill="2E74B5" w:themeFill="accent5" w:themeFillShade="BF"/>
          </w:tcPr>
          <w:p w14:paraId="332CE774" w14:textId="03AD2CCC" w:rsidR="007F48A4" w:rsidRPr="00A006DA" w:rsidRDefault="007F48A4" w:rsidP="007F48A4">
            <w:pPr>
              <w:jc w:val="center"/>
              <w:rPr>
                <w:rFonts w:ascii="Times New Roman" w:hAnsi="Times New Roman" w:cs="Times New Roman"/>
                <w:sz w:val="18"/>
                <w:szCs w:val="18"/>
              </w:rPr>
            </w:pPr>
            <w:r w:rsidRPr="00A006DA">
              <w:rPr>
                <w:rFonts w:ascii="Times New Roman" w:hAnsi="Times New Roman" w:cs="Times New Roman"/>
                <w:sz w:val="18"/>
                <w:szCs w:val="18"/>
              </w:rPr>
              <w:t>Index</w:t>
            </w:r>
          </w:p>
        </w:tc>
        <w:tc>
          <w:tcPr>
            <w:tcW w:w="1576" w:type="dxa"/>
            <w:shd w:val="clear" w:color="auto" w:fill="2E74B5" w:themeFill="accent5" w:themeFillShade="BF"/>
          </w:tcPr>
          <w:p w14:paraId="5CB80A6E" w14:textId="62BEE589" w:rsidR="007F48A4" w:rsidRPr="00A006DA" w:rsidRDefault="007F48A4" w:rsidP="007F48A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006DA">
              <w:rPr>
                <w:rFonts w:ascii="Times New Roman" w:hAnsi="Times New Roman" w:cs="Times New Roman"/>
                <w:sz w:val="18"/>
                <w:szCs w:val="18"/>
              </w:rPr>
              <w:t>Dataset</w:t>
            </w:r>
          </w:p>
        </w:tc>
        <w:tc>
          <w:tcPr>
            <w:tcW w:w="2257" w:type="dxa"/>
            <w:shd w:val="clear" w:color="auto" w:fill="2E74B5" w:themeFill="accent5" w:themeFillShade="BF"/>
          </w:tcPr>
          <w:p w14:paraId="1B750E22" w14:textId="0398139E" w:rsidR="007F48A4" w:rsidRPr="00A006DA" w:rsidRDefault="00BF07C7" w:rsidP="0061662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006DA">
              <w:rPr>
                <w:rFonts w:ascii="Times New Roman" w:hAnsi="Times New Roman" w:cs="Times New Roman"/>
                <w:sz w:val="18"/>
                <w:szCs w:val="18"/>
              </w:rPr>
              <w:t>Important Variables</w:t>
            </w:r>
          </w:p>
        </w:tc>
      </w:tr>
      <w:tr w:rsidR="007F48A4" w:rsidRPr="00A006DA" w14:paraId="5E464156" w14:textId="77777777" w:rsidTr="007D1A89">
        <w:trPr>
          <w:cnfStyle w:val="000000100000" w:firstRow="0" w:lastRow="0" w:firstColumn="0" w:lastColumn="0" w:oddVBand="0" w:evenVBand="0" w:oddHBand="1" w:evenHBand="0" w:firstRowFirstColumn="0" w:firstRowLastColumn="0" w:lastRowFirstColumn="0" w:lastRowLastColumn="0"/>
          <w:trHeight w:val="811"/>
        </w:trPr>
        <w:tc>
          <w:tcPr>
            <w:cnfStyle w:val="001000000000" w:firstRow="0" w:lastRow="0" w:firstColumn="1" w:lastColumn="0" w:oddVBand="0" w:evenVBand="0" w:oddHBand="0" w:evenHBand="0" w:firstRowFirstColumn="0" w:firstRowLastColumn="0" w:lastRowFirstColumn="0" w:lastRowLastColumn="0"/>
            <w:tcW w:w="679" w:type="dxa"/>
          </w:tcPr>
          <w:p w14:paraId="0087B941" w14:textId="288F1D62" w:rsidR="007F48A4" w:rsidRPr="00A006DA" w:rsidRDefault="00BF07C7" w:rsidP="0061662C">
            <w:pPr>
              <w:rPr>
                <w:rFonts w:ascii="Times New Roman" w:hAnsi="Times New Roman" w:cs="Times New Roman"/>
                <w:sz w:val="18"/>
                <w:szCs w:val="18"/>
              </w:rPr>
            </w:pPr>
            <w:r w:rsidRPr="00A006DA">
              <w:rPr>
                <w:rFonts w:ascii="Times New Roman" w:hAnsi="Times New Roman" w:cs="Times New Roman"/>
                <w:sz w:val="18"/>
                <w:szCs w:val="18"/>
              </w:rPr>
              <w:t>1</w:t>
            </w:r>
          </w:p>
        </w:tc>
        <w:tc>
          <w:tcPr>
            <w:tcW w:w="1576" w:type="dxa"/>
          </w:tcPr>
          <w:p w14:paraId="71DA971A" w14:textId="654ED321" w:rsidR="007F48A4" w:rsidRPr="00A006DA" w:rsidRDefault="00BF07C7" w:rsidP="006166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006DA">
              <w:rPr>
                <w:rFonts w:ascii="Times New Roman" w:hAnsi="Times New Roman" w:cs="Times New Roman"/>
                <w:sz w:val="18"/>
                <w:szCs w:val="18"/>
              </w:rPr>
              <w:t>FAO food supply Pakistan.csv</w:t>
            </w:r>
          </w:p>
        </w:tc>
        <w:tc>
          <w:tcPr>
            <w:tcW w:w="2257" w:type="dxa"/>
          </w:tcPr>
          <w:p w14:paraId="69E3ABE4" w14:textId="78EC1AA4" w:rsidR="007F48A4" w:rsidRPr="00A006DA" w:rsidRDefault="00BF07C7" w:rsidP="006166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006DA">
              <w:rPr>
                <w:rFonts w:ascii="Times New Roman" w:hAnsi="Times New Roman" w:cs="Times New Roman"/>
                <w:sz w:val="18"/>
                <w:szCs w:val="18"/>
              </w:rPr>
              <w:t>Area, element, item, year, value</w:t>
            </w:r>
          </w:p>
        </w:tc>
      </w:tr>
      <w:tr w:rsidR="007F48A4" w:rsidRPr="00A006DA" w14:paraId="639E606C" w14:textId="77777777" w:rsidTr="007D1A89">
        <w:trPr>
          <w:trHeight w:val="546"/>
        </w:trPr>
        <w:tc>
          <w:tcPr>
            <w:cnfStyle w:val="001000000000" w:firstRow="0" w:lastRow="0" w:firstColumn="1" w:lastColumn="0" w:oddVBand="0" w:evenVBand="0" w:oddHBand="0" w:evenHBand="0" w:firstRowFirstColumn="0" w:firstRowLastColumn="0" w:lastRowFirstColumn="0" w:lastRowLastColumn="0"/>
            <w:tcW w:w="679" w:type="dxa"/>
          </w:tcPr>
          <w:p w14:paraId="48457594" w14:textId="1567088E" w:rsidR="007F48A4" w:rsidRPr="00A006DA" w:rsidRDefault="00BF07C7" w:rsidP="0061662C">
            <w:pPr>
              <w:rPr>
                <w:rFonts w:ascii="Times New Roman" w:hAnsi="Times New Roman" w:cs="Times New Roman"/>
                <w:sz w:val="18"/>
                <w:szCs w:val="18"/>
              </w:rPr>
            </w:pPr>
            <w:r w:rsidRPr="00A006DA">
              <w:rPr>
                <w:rFonts w:ascii="Times New Roman" w:hAnsi="Times New Roman" w:cs="Times New Roman"/>
                <w:sz w:val="18"/>
                <w:szCs w:val="18"/>
              </w:rPr>
              <w:t>2</w:t>
            </w:r>
          </w:p>
        </w:tc>
        <w:tc>
          <w:tcPr>
            <w:tcW w:w="1576" w:type="dxa"/>
          </w:tcPr>
          <w:p w14:paraId="2BBC99D7" w14:textId="0096028B" w:rsidR="007F48A4" w:rsidRPr="00A006DA" w:rsidRDefault="00BF07C7" w:rsidP="006166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006DA">
              <w:rPr>
                <w:rFonts w:ascii="Times New Roman" w:hAnsi="Times New Roman" w:cs="Times New Roman"/>
                <w:sz w:val="18"/>
                <w:szCs w:val="18"/>
              </w:rPr>
              <w:t>Poverty_pak.csv</w:t>
            </w:r>
          </w:p>
        </w:tc>
        <w:tc>
          <w:tcPr>
            <w:tcW w:w="2257" w:type="dxa"/>
          </w:tcPr>
          <w:p w14:paraId="7D66963B" w14:textId="75BC5DF5" w:rsidR="007F48A4" w:rsidRPr="00A006DA" w:rsidRDefault="00BF07C7" w:rsidP="006166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006DA">
              <w:rPr>
                <w:rFonts w:ascii="Times New Roman" w:hAnsi="Times New Roman" w:cs="Times New Roman"/>
                <w:sz w:val="18"/>
                <w:szCs w:val="18"/>
              </w:rPr>
              <w:t>Year, indicator, name, value</w:t>
            </w:r>
          </w:p>
        </w:tc>
      </w:tr>
      <w:tr w:rsidR="007F48A4" w:rsidRPr="00A006DA" w14:paraId="34B2431C" w14:textId="77777777" w:rsidTr="007D1A89">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679" w:type="dxa"/>
          </w:tcPr>
          <w:p w14:paraId="4DE60D57" w14:textId="2CBFDBCC" w:rsidR="007F48A4" w:rsidRPr="00A006DA" w:rsidRDefault="00BF07C7" w:rsidP="0061662C">
            <w:pPr>
              <w:rPr>
                <w:rFonts w:ascii="Times New Roman" w:hAnsi="Times New Roman" w:cs="Times New Roman"/>
                <w:sz w:val="18"/>
                <w:szCs w:val="18"/>
              </w:rPr>
            </w:pPr>
            <w:r w:rsidRPr="00A006DA">
              <w:rPr>
                <w:rFonts w:ascii="Times New Roman" w:hAnsi="Times New Roman" w:cs="Times New Roman"/>
                <w:sz w:val="18"/>
                <w:szCs w:val="18"/>
              </w:rPr>
              <w:t>3</w:t>
            </w:r>
          </w:p>
        </w:tc>
        <w:tc>
          <w:tcPr>
            <w:tcW w:w="1576" w:type="dxa"/>
          </w:tcPr>
          <w:p w14:paraId="0D9A90FC" w14:textId="4ED5A405" w:rsidR="007F48A4" w:rsidRPr="00A006DA" w:rsidRDefault="00BF07C7" w:rsidP="006166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006DA">
              <w:rPr>
                <w:rFonts w:ascii="Times New Roman" w:hAnsi="Times New Roman" w:cs="Times New Roman"/>
                <w:sz w:val="18"/>
                <w:szCs w:val="18"/>
              </w:rPr>
              <w:t>Spi_prices.csv</w:t>
            </w:r>
          </w:p>
        </w:tc>
        <w:tc>
          <w:tcPr>
            <w:tcW w:w="2257" w:type="dxa"/>
          </w:tcPr>
          <w:p w14:paraId="7DB8C6DF" w14:textId="270C263B" w:rsidR="007F48A4" w:rsidRPr="00A006DA" w:rsidRDefault="00BF07C7" w:rsidP="0061662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A006DA">
              <w:rPr>
                <w:rFonts w:ascii="Times New Roman" w:hAnsi="Times New Roman" w:cs="Times New Roman"/>
                <w:sz w:val="18"/>
                <w:szCs w:val="18"/>
              </w:rPr>
              <w:t>Date, city, item, avg price, min price, max price</w:t>
            </w:r>
          </w:p>
        </w:tc>
      </w:tr>
      <w:tr w:rsidR="007F48A4" w:rsidRPr="00A006DA" w14:paraId="2EDC17D3" w14:textId="77777777" w:rsidTr="007D1A89">
        <w:trPr>
          <w:trHeight w:val="529"/>
        </w:trPr>
        <w:tc>
          <w:tcPr>
            <w:cnfStyle w:val="001000000000" w:firstRow="0" w:lastRow="0" w:firstColumn="1" w:lastColumn="0" w:oddVBand="0" w:evenVBand="0" w:oddHBand="0" w:evenHBand="0" w:firstRowFirstColumn="0" w:firstRowLastColumn="0" w:lastRowFirstColumn="0" w:lastRowLastColumn="0"/>
            <w:tcW w:w="679" w:type="dxa"/>
          </w:tcPr>
          <w:p w14:paraId="35C56ACE" w14:textId="575FDB07" w:rsidR="007F48A4" w:rsidRPr="00A006DA" w:rsidRDefault="00BF07C7" w:rsidP="0061662C">
            <w:pPr>
              <w:rPr>
                <w:rFonts w:ascii="Times New Roman" w:hAnsi="Times New Roman" w:cs="Times New Roman"/>
                <w:sz w:val="18"/>
                <w:szCs w:val="18"/>
              </w:rPr>
            </w:pPr>
            <w:r w:rsidRPr="00A006DA">
              <w:rPr>
                <w:rFonts w:ascii="Times New Roman" w:hAnsi="Times New Roman" w:cs="Times New Roman"/>
                <w:sz w:val="18"/>
                <w:szCs w:val="18"/>
              </w:rPr>
              <w:t>4</w:t>
            </w:r>
          </w:p>
        </w:tc>
        <w:tc>
          <w:tcPr>
            <w:tcW w:w="1576" w:type="dxa"/>
          </w:tcPr>
          <w:p w14:paraId="719F2E4F" w14:textId="1938FF8F" w:rsidR="007F48A4" w:rsidRPr="00A006DA" w:rsidRDefault="00BF07C7" w:rsidP="006166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006DA">
              <w:rPr>
                <w:rFonts w:ascii="Times New Roman" w:hAnsi="Times New Roman" w:cs="Times New Roman"/>
                <w:sz w:val="18"/>
                <w:szCs w:val="18"/>
              </w:rPr>
              <w:t>Worldbank_pakistan.csv</w:t>
            </w:r>
          </w:p>
        </w:tc>
        <w:tc>
          <w:tcPr>
            <w:tcW w:w="2257" w:type="dxa"/>
          </w:tcPr>
          <w:p w14:paraId="02C085DD" w14:textId="7CEF93A1" w:rsidR="007F48A4" w:rsidRPr="00A006DA" w:rsidRDefault="00BF07C7" w:rsidP="0061662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A006DA">
              <w:rPr>
                <w:rFonts w:ascii="Times New Roman" w:hAnsi="Times New Roman" w:cs="Times New Roman"/>
                <w:sz w:val="18"/>
                <w:szCs w:val="18"/>
              </w:rPr>
              <w:t xml:space="preserve">Year, GNI per capita, Gini index, Income share held by lowest 20%, Poverty headcount ratio at national poverty </w:t>
            </w:r>
            <w:proofErr w:type="gramStart"/>
            <w:r w:rsidRPr="00A006DA">
              <w:rPr>
                <w:rFonts w:ascii="Times New Roman" w:hAnsi="Times New Roman" w:cs="Times New Roman"/>
                <w:sz w:val="18"/>
                <w:szCs w:val="18"/>
              </w:rPr>
              <w:t>lines(</w:t>
            </w:r>
            <w:proofErr w:type="gramEnd"/>
            <w:r w:rsidRPr="00A006DA">
              <w:rPr>
                <w:rFonts w:ascii="Times New Roman" w:hAnsi="Times New Roman" w:cs="Times New Roman"/>
                <w:sz w:val="18"/>
                <w:szCs w:val="18"/>
              </w:rPr>
              <w:t>%)</w:t>
            </w:r>
          </w:p>
        </w:tc>
      </w:tr>
    </w:tbl>
    <w:p w14:paraId="45C99D49" w14:textId="77777777" w:rsidR="0061662C" w:rsidRDefault="0061662C" w:rsidP="0061662C"/>
    <w:p w14:paraId="35560D8C" w14:textId="59E41F4D" w:rsidR="009B036A" w:rsidRDefault="009B036A" w:rsidP="00337DAF">
      <w:pPr>
        <w:pStyle w:val="Heading1"/>
      </w:pPr>
      <w:r w:rsidRPr="00337DAF">
        <w:t>III. DATA CLEANING AND PROCESSING</w:t>
      </w:r>
    </w:p>
    <w:p w14:paraId="4C2BB243" w14:textId="77777777" w:rsidR="00343C30" w:rsidRDefault="00343C30" w:rsidP="00343C30">
      <w:pPr>
        <w:spacing w:before="60" w:after="60" w:line="276" w:lineRule="auto"/>
        <w:jc w:val="both"/>
      </w:pPr>
      <w:r>
        <w:rPr>
          <w:rFonts w:ascii="Times New Roman" w:eastAsia="Times New Roman" w:hAnsi="Times New Roman" w:cs="Times New Roman"/>
          <w:color w:val="000000"/>
          <w:sz w:val="20"/>
          <w:szCs w:val="20"/>
        </w:rPr>
        <w:t>Data cleaning is the prerequisite for reliable analysis. Before any EDA could begin, all four raw datasets required preprocessing to remove inconsistencies, correct structural problems, and ensure downstream operations would produce trustworthy results. This section documents seven distinct cleaning operations applied to the raw data, aligned with the project’s rubric requirement. Each operation is justified by reference to the specific problem it solves.</w:t>
      </w:r>
    </w:p>
    <w:p w14:paraId="43629E37" w14:textId="77777777" w:rsidR="00343C30" w:rsidRDefault="00343C30" w:rsidP="00343C30">
      <w:pPr>
        <w:pStyle w:val="Heading2"/>
      </w:pPr>
      <w:r>
        <w:rPr>
          <w:rFonts w:eastAsia="Times New Roman"/>
          <w:b/>
          <w:bCs/>
          <w:color w:val="000000"/>
        </w:rPr>
        <w:t>A. Step 1 — Duplicate Row Removal</w:t>
      </w:r>
    </w:p>
    <w:p w14:paraId="395C70B5" w14:textId="77777777" w:rsidR="00343C30" w:rsidRDefault="00343C30" w:rsidP="00343C30">
      <w:pPr>
        <w:spacing w:before="60" w:after="60" w:line="276" w:lineRule="auto"/>
        <w:jc w:val="both"/>
      </w:pPr>
      <w:r>
        <w:rPr>
          <w:rFonts w:ascii="Times New Roman" w:eastAsia="Times New Roman" w:hAnsi="Times New Roman" w:cs="Times New Roman"/>
          <w:color w:val="000000"/>
          <w:sz w:val="20"/>
          <w:szCs w:val="20"/>
        </w:rPr>
        <w:t>The first operation checked every dataset for fully duplicated rows and removed them. Duplicate records arise in practice from repeated API pulls, spreadsheet copy-paste errors, or multi-source data merges. If left in place, they inflate row counts, skew frequency-based statistics, and can distort correlation measures.</w:t>
      </w:r>
    </w:p>
    <w:p w14:paraId="2A5CA998" w14:textId="77777777" w:rsidR="00343C30" w:rsidRDefault="00343C30" w:rsidP="00343C30">
      <w:pPr>
        <w:spacing w:after="60"/>
      </w:pPr>
    </w:p>
    <w:p w14:paraId="3FE2FDE4" w14:textId="77777777" w:rsidR="00343C30" w:rsidRDefault="00343C30" w:rsidP="00343C30">
      <w:pPr>
        <w:spacing w:before="60" w:after="60" w:line="276" w:lineRule="auto"/>
        <w:jc w:val="both"/>
      </w:pPr>
      <w:r>
        <w:rPr>
          <w:rFonts w:ascii="Times New Roman" w:eastAsia="Times New Roman" w:hAnsi="Times New Roman" w:cs="Times New Roman"/>
          <w:color w:val="000000"/>
          <w:sz w:val="20"/>
          <w:szCs w:val="20"/>
        </w:rPr>
        <w:t xml:space="preserve">All four datasets were checked using Pandas’ </w:t>
      </w:r>
      <w:proofErr w:type="spellStart"/>
      <w:r>
        <w:rPr>
          <w:rFonts w:ascii="Times New Roman" w:eastAsia="Times New Roman" w:hAnsi="Times New Roman" w:cs="Times New Roman"/>
          <w:color w:val="000000"/>
          <w:sz w:val="20"/>
          <w:szCs w:val="20"/>
        </w:rPr>
        <w:t>drop_</w:t>
      </w:r>
      <w:proofErr w:type="gramStart"/>
      <w:r>
        <w:rPr>
          <w:rFonts w:ascii="Times New Roman" w:eastAsia="Times New Roman" w:hAnsi="Times New Roman" w:cs="Times New Roman"/>
          <w:color w:val="000000"/>
          <w:sz w:val="20"/>
          <w:szCs w:val="20"/>
        </w:rPr>
        <w:t>duplicates</w:t>
      </w:r>
      <w:proofErr w:type="spellEnd"/>
      <w:r>
        <w:rPr>
          <w:rFonts w:ascii="Times New Roman" w:eastAsia="Times New Roman" w:hAnsi="Times New Roman" w:cs="Times New Roman"/>
          <w:color w:val="000000"/>
          <w:sz w:val="20"/>
          <w:szCs w:val="20"/>
        </w:rPr>
        <w:t>(</w:t>
      </w:r>
      <w:proofErr w:type="gramEnd"/>
      <w:r>
        <w:rPr>
          <w:rFonts w:ascii="Times New Roman" w:eastAsia="Times New Roman" w:hAnsi="Times New Roman" w:cs="Times New Roman"/>
          <w:color w:val="000000"/>
          <w:sz w:val="20"/>
          <w:szCs w:val="20"/>
        </w:rPr>
        <w:t>) method. The check returned zero duplicates across FAO, poverty, SPI, and World Bank records, confirming that the raw downloads were internally consistent. Although no rows were removed, documenting this step is methodologically important: it establishes a clean baseline and rules out one of the most common data quality problems before any other transformation is applied.</w:t>
      </w:r>
    </w:p>
    <w:p w14:paraId="0232ED39" w14:textId="77777777" w:rsidR="00343C30" w:rsidRDefault="00343C30" w:rsidP="00343C30">
      <w:pPr>
        <w:pStyle w:val="Heading2"/>
      </w:pPr>
      <w:r>
        <w:rPr>
          <w:rFonts w:eastAsia="Times New Roman"/>
          <w:b/>
          <w:bCs/>
          <w:color w:val="000000"/>
        </w:rPr>
        <w:lastRenderedPageBreak/>
        <w:t>B. Step 2 — Missing Value Treatment</w:t>
      </w:r>
    </w:p>
    <w:p w14:paraId="76C34B91" w14:textId="77777777" w:rsidR="00343C30" w:rsidRDefault="00343C30" w:rsidP="00343C30">
      <w:pPr>
        <w:spacing w:before="60" w:after="60" w:line="276" w:lineRule="auto"/>
        <w:jc w:val="both"/>
      </w:pPr>
      <w:r>
        <w:rPr>
          <w:rFonts w:ascii="Times New Roman" w:eastAsia="Times New Roman" w:hAnsi="Times New Roman" w:cs="Times New Roman"/>
          <w:color w:val="000000"/>
          <w:sz w:val="20"/>
          <w:szCs w:val="20"/>
        </w:rPr>
        <w:t>Missing values were handled with dataset-specific strategies rather than a single uniform rule, because the cause of missingness differs across sources.</w:t>
      </w:r>
    </w:p>
    <w:p w14:paraId="3D36EBCB" w14:textId="77777777" w:rsidR="00343C30" w:rsidRDefault="00343C30" w:rsidP="00343C30">
      <w:pPr>
        <w:spacing w:after="60"/>
      </w:pPr>
    </w:p>
    <w:p w14:paraId="7F00ADB9" w14:textId="77777777" w:rsidR="00343C30" w:rsidRDefault="00343C30" w:rsidP="00343C30">
      <w:pPr>
        <w:pStyle w:val="ListParagraph"/>
        <w:numPr>
          <w:ilvl w:val="0"/>
          <w:numId w:val="15"/>
        </w:numPr>
        <w:spacing w:before="40" w:after="40" w:line="276" w:lineRule="auto"/>
        <w:contextualSpacing w:val="0"/>
        <w:jc w:val="both"/>
      </w:pPr>
      <w:r>
        <w:rPr>
          <w:rFonts w:ascii="Times New Roman" w:eastAsia="Times New Roman" w:hAnsi="Times New Roman" w:cs="Times New Roman"/>
          <w:sz w:val="20"/>
          <w:szCs w:val="20"/>
        </w:rPr>
        <w:t>FAO dataset: The ‘Note’ column was entirely null across all 924 rows and was dropped immediately. Several metadata columns (Flag, Flag Description, Domain Code) were also removed as they carry no analytical value.</w:t>
      </w:r>
    </w:p>
    <w:p w14:paraId="58159063" w14:textId="77777777" w:rsidR="00343C30" w:rsidRDefault="00343C30" w:rsidP="00343C30">
      <w:pPr>
        <w:pStyle w:val="ListParagraph"/>
        <w:numPr>
          <w:ilvl w:val="0"/>
          <w:numId w:val="15"/>
        </w:numPr>
        <w:spacing w:before="40" w:after="40" w:line="276" w:lineRule="auto"/>
        <w:contextualSpacing w:val="0"/>
        <w:jc w:val="both"/>
      </w:pPr>
      <w:r>
        <w:rPr>
          <w:rFonts w:ascii="Times New Roman" w:eastAsia="Times New Roman" w:hAnsi="Times New Roman" w:cs="Times New Roman"/>
          <w:sz w:val="20"/>
          <w:szCs w:val="20"/>
        </w:rPr>
        <w:t>SPI price dataset: Missing values in Min_Price, Avg_Price, and Max_Price columns were filled using the per-item median price rather than the mean. The median is preferred because food prices contain genuine spikes (e.g., seasonal tomato price shocks) that would inflate a mean-fill and introduce artificial price levels into the data.</w:t>
      </w:r>
    </w:p>
    <w:p w14:paraId="4E50FB4F" w14:textId="77777777" w:rsidR="00343C30" w:rsidRDefault="00343C30" w:rsidP="00343C30">
      <w:pPr>
        <w:pStyle w:val="ListParagraph"/>
        <w:numPr>
          <w:ilvl w:val="0"/>
          <w:numId w:val="15"/>
        </w:numPr>
        <w:spacing w:before="40" w:after="40" w:line="276" w:lineRule="auto"/>
        <w:contextualSpacing w:val="0"/>
        <w:jc w:val="both"/>
      </w:pPr>
      <w:r>
        <w:rPr>
          <w:rFonts w:ascii="Times New Roman" w:eastAsia="Times New Roman" w:hAnsi="Times New Roman" w:cs="Times New Roman"/>
          <w:sz w:val="20"/>
          <w:szCs w:val="20"/>
        </w:rPr>
        <w:t>Poverty and World Bank datasets: No missing values were found in the primary analytical columns (Year, Value, Gini_index, Poverty_headcount_national_pct). These datasets were passed to Step 3 without modification.</w:t>
      </w:r>
    </w:p>
    <w:p w14:paraId="13C5DB45" w14:textId="77777777" w:rsidR="00343C30" w:rsidRDefault="00343C30" w:rsidP="00343C30">
      <w:pPr>
        <w:spacing w:after="60"/>
      </w:pPr>
    </w:p>
    <w:p w14:paraId="2879AA2E" w14:textId="77777777" w:rsidR="00343C30" w:rsidRDefault="00343C30" w:rsidP="00343C30">
      <w:pPr>
        <w:spacing w:before="60" w:after="60" w:line="276" w:lineRule="auto"/>
        <w:jc w:val="both"/>
      </w:pPr>
      <w:r>
        <w:rPr>
          <w:rFonts w:ascii="Times New Roman" w:eastAsia="Times New Roman" w:hAnsi="Times New Roman" w:cs="Times New Roman"/>
          <w:color w:val="000000"/>
          <w:sz w:val="20"/>
          <w:szCs w:val="20"/>
        </w:rPr>
        <w:t>A secondary round of missing value treatment was applied after initial cleaning, targeting high-missingness columns in poverty_clean.csv and poverty_nutrition_merged.csv. Any column with more than 80 percent null values was dropped entirely. This threshold eliminated seven columns from poverty_clean.csv (reducing it from 25 to 18 columns) and two columns from the merged file (reducing it from 26 to 24 columns). The retained missing values in these files reflect the genuine infrequency of Pakistan’s national household surveys, not data quality failures, and were therefore preserved as NaN rather than imputed.</w:t>
      </w:r>
    </w:p>
    <w:p w14:paraId="5E825E75" w14:textId="77777777" w:rsidR="00343C30" w:rsidRDefault="00343C30" w:rsidP="00343C30">
      <w:pPr>
        <w:pStyle w:val="Heading2"/>
      </w:pPr>
      <w:r>
        <w:rPr>
          <w:rFonts w:eastAsia="Times New Roman"/>
          <w:b/>
          <w:bCs/>
          <w:color w:val="000000"/>
        </w:rPr>
        <w:t>C. Step 3 — String Standardisation</w:t>
      </w:r>
    </w:p>
    <w:p w14:paraId="4A6E8DBD" w14:textId="77777777" w:rsidR="00343C30" w:rsidRDefault="00343C30" w:rsidP="00343C30">
      <w:pPr>
        <w:spacing w:before="60" w:after="60" w:line="276" w:lineRule="auto"/>
        <w:jc w:val="both"/>
      </w:pPr>
      <w:r>
        <w:rPr>
          <w:rFonts w:ascii="Times New Roman" w:eastAsia="Times New Roman" w:hAnsi="Times New Roman" w:cs="Times New Roman"/>
          <w:color w:val="000000"/>
          <w:sz w:val="20"/>
          <w:szCs w:val="20"/>
        </w:rPr>
        <w:t xml:space="preserve">Inconsistent string values in categorical columns cause </w:t>
      </w:r>
      <w:proofErr w:type="spellStart"/>
      <w:r>
        <w:rPr>
          <w:rFonts w:ascii="Times New Roman" w:eastAsia="Times New Roman" w:hAnsi="Times New Roman" w:cs="Times New Roman"/>
          <w:color w:val="000000"/>
          <w:sz w:val="20"/>
          <w:szCs w:val="20"/>
        </w:rPr>
        <w:t>groupby</w:t>
      </w:r>
      <w:proofErr w:type="spellEnd"/>
      <w:r>
        <w:rPr>
          <w:rFonts w:ascii="Times New Roman" w:eastAsia="Times New Roman" w:hAnsi="Times New Roman" w:cs="Times New Roman"/>
          <w:color w:val="000000"/>
          <w:sz w:val="20"/>
          <w:szCs w:val="20"/>
        </w:rPr>
        <w:t xml:space="preserve"> operations and merge joins to produce incorrect results because Python treats ‘Wheat Flour’ and ‘wheat flour’ as different keys. Three categories of string issues were identified and corrected.</w:t>
      </w:r>
    </w:p>
    <w:p w14:paraId="0E406055" w14:textId="77777777" w:rsidR="00343C30" w:rsidRDefault="00343C30" w:rsidP="00343C30">
      <w:pPr>
        <w:spacing w:after="60"/>
      </w:pPr>
    </w:p>
    <w:p w14:paraId="56BC5A18" w14:textId="77777777" w:rsidR="00343C30" w:rsidRDefault="00343C30" w:rsidP="00343C30">
      <w:pPr>
        <w:pStyle w:val="ListParagraph"/>
        <w:numPr>
          <w:ilvl w:val="0"/>
          <w:numId w:val="15"/>
        </w:numPr>
        <w:spacing w:before="40" w:after="40" w:line="276" w:lineRule="auto"/>
        <w:contextualSpacing w:val="0"/>
        <w:jc w:val="both"/>
      </w:pPr>
      <w:r>
        <w:rPr>
          <w:rFonts w:ascii="Times New Roman" w:eastAsia="Times New Roman" w:hAnsi="Times New Roman" w:cs="Times New Roman"/>
          <w:sz w:val="20"/>
          <w:szCs w:val="20"/>
        </w:rPr>
        <w:t xml:space="preserve">Case </w:t>
      </w:r>
      <w:proofErr w:type="spellStart"/>
      <w:r>
        <w:rPr>
          <w:rFonts w:ascii="Times New Roman" w:eastAsia="Times New Roman" w:hAnsi="Times New Roman" w:cs="Times New Roman"/>
          <w:sz w:val="20"/>
          <w:szCs w:val="20"/>
        </w:rPr>
        <w:t>normalisation</w:t>
      </w:r>
      <w:proofErr w:type="spellEnd"/>
      <w:r>
        <w:rPr>
          <w:rFonts w:ascii="Times New Roman" w:eastAsia="Times New Roman" w:hAnsi="Times New Roman" w:cs="Times New Roman"/>
          <w:sz w:val="20"/>
          <w:szCs w:val="20"/>
        </w:rPr>
        <w:t xml:space="preserve">: The Item and City columns in the SPI dataset were converted to Title Case using </w:t>
      </w:r>
      <w:proofErr w:type="spellStart"/>
      <w:proofErr w:type="gramStart"/>
      <w:r>
        <w:rPr>
          <w:rFonts w:ascii="Times New Roman" w:eastAsia="Times New Roman" w:hAnsi="Times New Roman" w:cs="Times New Roman"/>
          <w:sz w:val="20"/>
          <w:szCs w:val="20"/>
        </w:rPr>
        <w:t>str.strip</w:t>
      </w:r>
      <w:proofErr w:type="spellEnd"/>
      <w:proofErr w:type="gramEnd"/>
      <w:r>
        <w:rPr>
          <w:rFonts w:ascii="Times New Roman" w:eastAsia="Times New Roman" w:hAnsi="Times New Roman" w:cs="Times New Roman"/>
          <w:sz w:val="20"/>
          <w:szCs w:val="20"/>
        </w:rPr>
        <w:t>().</w:t>
      </w:r>
      <w:proofErr w:type="spellStart"/>
      <w:proofErr w:type="gramStart"/>
      <w:r>
        <w:rPr>
          <w:rFonts w:ascii="Times New Roman" w:eastAsia="Times New Roman" w:hAnsi="Times New Roman" w:cs="Times New Roman"/>
          <w:sz w:val="20"/>
          <w:szCs w:val="20"/>
        </w:rPr>
        <w:t>str.title</w:t>
      </w:r>
      <w:proofErr w:type="spellEnd"/>
      <w:proofErr w:type="gramEnd"/>
      <w:r>
        <w:rPr>
          <w:rFonts w:ascii="Times New Roman" w:eastAsia="Times New Roman" w:hAnsi="Times New Roman" w:cs="Times New Roman"/>
          <w:sz w:val="20"/>
          <w:szCs w:val="20"/>
        </w:rPr>
        <w:t>(). This resolved mixed-case variants such as ‘LAHORE’ vs ‘Lahore’ and ‘wheat flour bag’ vs ‘Wheat Flour Bag’.</w:t>
      </w:r>
    </w:p>
    <w:p w14:paraId="12D933EC" w14:textId="77777777" w:rsidR="00343C30" w:rsidRDefault="00343C30" w:rsidP="00343C30">
      <w:pPr>
        <w:pStyle w:val="ListParagraph"/>
        <w:numPr>
          <w:ilvl w:val="0"/>
          <w:numId w:val="15"/>
        </w:numPr>
        <w:spacing w:before="40" w:after="40" w:line="276" w:lineRule="auto"/>
        <w:contextualSpacing w:val="0"/>
        <w:jc w:val="both"/>
      </w:pPr>
      <w:r>
        <w:rPr>
          <w:rFonts w:ascii="Times New Roman" w:eastAsia="Times New Roman" w:hAnsi="Times New Roman" w:cs="Times New Roman"/>
          <w:sz w:val="20"/>
          <w:szCs w:val="20"/>
        </w:rPr>
        <w:t>Leading and trailing whitespace: Strip operations were applied to all string columns across all four datasets. Invisible whitespace characters are a common source of merge failures and go undetected by visual inspection.</w:t>
      </w:r>
    </w:p>
    <w:p w14:paraId="31A9991C" w14:textId="2ABBE7B0" w:rsidR="00343C30" w:rsidRDefault="00343C30" w:rsidP="00343C30">
      <w:pPr>
        <w:pStyle w:val="ListParagraph"/>
        <w:numPr>
          <w:ilvl w:val="0"/>
          <w:numId w:val="15"/>
        </w:numPr>
        <w:spacing w:before="40" w:after="40" w:line="276" w:lineRule="auto"/>
        <w:contextualSpacing w:val="0"/>
        <w:jc w:val="both"/>
      </w:pPr>
      <w:r>
        <w:rPr>
          <w:rFonts w:ascii="Times New Roman" w:eastAsia="Times New Roman" w:hAnsi="Times New Roman" w:cs="Times New Roman"/>
          <w:sz w:val="20"/>
          <w:szCs w:val="20"/>
        </w:rPr>
        <w:t xml:space="preserve">Item name aliases: Several SPI commodities appeared under two or three truncated variants due to field-length limits in the source database. For example, ‘Cooking Oil </w:t>
      </w:r>
      <w:proofErr w:type="spellStart"/>
      <w:r>
        <w:rPr>
          <w:rFonts w:ascii="Times New Roman" w:eastAsia="Times New Roman" w:hAnsi="Times New Roman" w:cs="Times New Roman"/>
          <w:sz w:val="20"/>
          <w:szCs w:val="20"/>
        </w:rPr>
        <w:t>Dalda</w:t>
      </w:r>
      <w:proofErr w:type="spellEnd"/>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Or</w:t>
      </w:r>
      <w:proofErr w:type="gramEnd"/>
      <w:r>
        <w:rPr>
          <w:rFonts w:ascii="Times New Roman" w:eastAsia="Times New Roman" w:hAnsi="Times New Roman" w:cs="Times New Roman"/>
          <w:sz w:val="20"/>
          <w:szCs w:val="20"/>
        </w:rPr>
        <w:t xml:space="preserve"> Other Simila’ and ‘Cooking Oil </w:t>
      </w:r>
      <w:proofErr w:type="spellStart"/>
      <w:r>
        <w:rPr>
          <w:rFonts w:ascii="Times New Roman" w:eastAsia="Times New Roman" w:hAnsi="Times New Roman" w:cs="Times New Roman"/>
          <w:sz w:val="20"/>
          <w:szCs w:val="20"/>
        </w:rPr>
        <w:t>Dalda</w:t>
      </w:r>
      <w:proofErr w:type="spellEnd"/>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Or</w:t>
      </w:r>
      <w:proofErr w:type="gramEnd"/>
      <w:r>
        <w:rPr>
          <w:rFonts w:ascii="Times New Roman" w:eastAsia="Times New Roman" w:hAnsi="Times New Roman" w:cs="Times New Roman"/>
          <w:sz w:val="20"/>
          <w:szCs w:val="20"/>
        </w:rPr>
        <w:t xml:space="preserve"> Other Similar’ both refer to the same product. A dictionary-based replacement map was applied to consolidate these aliases into a single canonical name per commodity, ensuring consistent </w:t>
      </w:r>
      <w:r w:rsidR="007D1A89">
        <w:rPr>
          <w:rFonts w:ascii="Times New Roman" w:eastAsia="Times New Roman" w:hAnsi="Times New Roman" w:cs="Times New Roman"/>
          <w:sz w:val="20"/>
          <w:szCs w:val="20"/>
        </w:rPr>
        <w:t>group-by</w:t>
      </w:r>
      <w:r>
        <w:rPr>
          <w:rFonts w:ascii="Times New Roman" w:eastAsia="Times New Roman" w:hAnsi="Times New Roman" w:cs="Times New Roman"/>
          <w:sz w:val="20"/>
          <w:szCs w:val="20"/>
        </w:rPr>
        <w:t xml:space="preserve"> results in all subsequent analyses.</w:t>
      </w:r>
    </w:p>
    <w:p w14:paraId="52639FBC" w14:textId="77777777" w:rsidR="00343C30" w:rsidRDefault="00343C30" w:rsidP="00343C30">
      <w:pPr>
        <w:pStyle w:val="Heading2"/>
      </w:pPr>
      <w:r>
        <w:rPr>
          <w:rFonts w:eastAsia="Times New Roman"/>
          <w:b/>
          <w:bCs/>
          <w:color w:val="000000"/>
        </w:rPr>
        <w:t>D. Step 4 — Data Type Corrections and Date Parsing</w:t>
      </w:r>
    </w:p>
    <w:p w14:paraId="52F3E3F6" w14:textId="77777777" w:rsidR="00343C30" w:rsidRDefault="00343C30" w:rsidP="00343C30">
      <w:pPr>
        <w:spacing w:before="60" w:after="60" w:line="276" w:lineRule="auto"/>
        <w:jc w:val="both"/>
      </w:pPr>
      <w:r>
        <w:rPr>
          <w:rFonts w:ascii="Times New Roman" w:eastAsia="Times New Roman" w:hAnsi="Times New Roman" w:cs="Times New Roman"/>
          <w:color w:val="000000"/>
          <w:sz w:val="20"/>
          <w:szCs w:val="20"/>
        </w:rPr>
        <w:t xml:space="preserve">Pandas reads all columns as object (string) type by default when no explicit </w:t>
      </w:r>
      <w:proofErr w:type="spellStart"/>
      <w:r>
        <w:rPr>
          <w:rFonts w:ascii="Times New Roman" w:eastAsia="Times New Roman" w:hAnsi="Times New Roman" w:cs="Times New Roman"/>
          <w:color w:val="000000"/>
          <w:sz w:val="20"/>
          <w:szCs w:val="20"/>
        </w:rPr>
        <w:t>dtype</w:t>
      </w:r>
      <w:proofErr w:type="spellEnd"/>
      <w:r>
        <w:rPr>
          <w:rFonts w:ascii="Times New Roman" w:eastAsia="Times New Roman" w:hAnsi="Times New Roman" w:cs="Times New Roman"/>
          <w:color w:val="000000"/>
          <w:sz w:val="20"/>
          <w:szCs w:val="20"/>
        </w:rPr>
        <w:t xml:space="preserve"> is passed. This prevents arithmetic operations, time-series slicing, and date-based aggregation. Three corrections were applied.</w:t>
      </w:r>
    </w:p>
    <w:p w14:paraId="717D2716" w14:textId="77777777" w:rsidR="00343C30" w:rsidRDefault="00343C30" w:rsidP="00343C30">
      <w:pPr>
        <w:spacing w:after="60"/>
      </w:pPr>
    </w:p>
    <w:p w14:paraId="69516536" w14:textId="77777777" w:rsidR="00343C30" w:rsidRDefault="00343C30" w:rsidP="00343C30">
      <w:pPr>
        <w:pStyle w:val="ListParagraph"/>
        <w:numPr>
          <w:ilvl w:val="0"/>
          <w:numId w:val="15"/>
        </w:numPr>
        <w:spacing w:before="40" w:after="40" w:line="276" w:lineRule="auto"/>
        <w:contextualSpacing w:val="0"/>
        <w:jc w:val="both"/>
      </w:pPr>
      <w:r>
        <w:rPr>
          <w:rFonts w:ascii="Times New Roman" w:eastAsia="Times New Roman" w:hAnsi="Times New Roman" w:cs="Times New Roman"/>
          <w:sz w:val="20"/>
          <w:szCs w:val="20"/>
        </w:rPr>
        <w:t>The SPI Date column was stored as a DD/MM/YYYY string. It was converted to datetime64 using pd.to_</w:t>
      </w:r>
      <w:proofErr w:type="gramStart"/>
      <w:r>
        <w:rPr>
          <w:rFonts w:ascii="Times New Roman" w:eastAsia="Times New Roman" w:hAnsi="Times New Roman" w:cs="Times New Roman"/>
          <w:sz w:val="20"/>
          <w:szCs w:val="20"/>
        </w:rPr>
        <w:t>datetime(</w:t>
      </w:r>
      <w:proofErr w:type="gramEnd"/>
      <w:r>
        <w:rPr>
          <w:rFonts w:ascii="Times New Roman" w:eastAsia="Times New Roman" w:hAnsi="Times New Roman" w:cs="Times New Roman"/>
          <w:sz w:val="20"/>
          <w:szCs w:val="20"/>
        </w:rPr>
        <w:t xml:space="preserve">) with the correct format argument. After conversion, Year, Month, and </w:t>
      </w:r>
      <w:proofErr w:type="spellStart"/>
      <w:r>
        <w:rPr>
          <w:rFonts w:ascii="Times New Roman" w:eastAsia="Times New Roman" w:hAnsi="Times New Roman" w:cs="Times New Roman"/>
          <w:sz w:val="20"/>
          <w:szCs w:val="20"/>
        </w:rPr>
        <w:t>Month_Name</w:t>
      </w:r>
      <w:proofErr w:type="spellEnd"/>
      <w:r>
        <w:rPr>
          <w:rFonts w:ascii="Times New Roman" w:eastAsia="Times New Roman" w:hAnsi="Times New Roman" w:cs="Times New Roman"/>
          <w:sz w:val="20"/>
          <w:szCs w:val="20"/>
        </w:rPr>
        <w:t xml:space="preserve"> columns were extracted as integer and string helpers, enabling grouping by month and year in EDA without repeated date parsing.</w:t>
      </w:r>
    </w:p>
    <w:p w14:paraId="72A4A9F2" w14:textId="77777777" w:rsidR="00343C30" w:rsidRDefault="00343C30" w:rsidP="00343C30">
      <w:pPr>
        <w:pStyle w:val="ListParagraph"/>
        <w:numPr>
          <w:ilvl w:val="0"/>
          <w:numId w:val="15"/>
        </w:numPr>
        <w:spacing w:before="40" w:after="40" w:line="276" w:lineRule="auto"/>
        <w:contextualSpacing w:val="0"/>
        <w:jc w:val="both"/>
      </w:pPr>
      <w:r>
        <w:rPr>
          <w:rFonts w:ascii="Times New Roman" w:eastAsia="Times New Roman" w:hAnsi="Times New Roman" w:cs="Times New Roman"/>
          <w:sz w:val="20"/>
          <w:szCs w:val="20"/>
        </w:rPr>
        <w:t>The FAO Year and Value columns were confirmed as int64 and float64 respectively. No conversion was required, but the check was necessary before the pivot in Step 6.</w:t>
      </w:r>
    </w:p>
    <w:p w14:paraId="3218A73F" w14:textId="77777777" w:rsidR="00343C30" w:rsidRDefault="00343C30" w:rsidP="00343C30">
      <w:pPr>
        <w:pStyle w:val="ListParagraph"/>
        <w:numPr>
          <w:ilvl w:val="0"/>
          <w:numId w:val="15"/>
        </w:numPr>
        <w:spacing w:before="40" w:after="40" w:line="276" w:lineRule="auto"/>
        <w:contextualSpacing w:val="0"/>
        <w:jc w:val="both"/>
      </w:pPr>
      <w:r>
        <w:rPr>
          <w:rFonts w:ascii="Times New Roman" w:eastAsia="Times New Roman" w:hAnsi="Times New Roman" w:cs="Times New Roman"/>
          <w:sz w:val="20"/>
          <w:szCs w:val="20"/>
        </w:rPr>
        <w:t xml:space="preserve">World Bank indicator columns were verified as float64 after column renaming. The verification step caught one column that had been read as object due to a single non-numeric entry, which was coerced to </w:t>
      </w:r>
      <w:r>
        <w:rPr>
          <w:rFonts w:ascii="Times New Roman" w:eastAsia="Times New Roman" w:hAnsi="Times New Roman" w:cs="Times New Roman"/>
          <w:sz w:val="20"/>
          <w:szCs w:val="20"/>
        </w:rPr>
        <w:lastRenderedPageBreak/>
        <w:t>float using pd.to_numeric(errors</w:t>
      </w:r>
      <w:proofErr w:type="gramStart"/>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coerce’).</w:t>
      </w:r>
    </w:p>
    <w:p w14:paraId="76D4D8F3" w14:textId="77777777" w:rsidR="00343C30" w:rsidRDefault="00343C30" w:rsidP="00343C30">
      <w:pPr>
        <w:pStyle w:val="Heading2"/>
      </w:pPr>
      <w:r>
        <w:rPr>
          <w:rFonts w:eastAsia="Times New Roman"/>
          <w:b/>
          <w:bCs/>
          <w:color w:val="000000"/>
        </w:rPr>
        <w:t>E. Step 5 — Outlier Detection and Winsorisation</w:t>
      </w:r>
    </w:p>
    <w:p w14:paraId="5E93E3E7" w14:textId="77777777" w:rsidR="00343C30" w:rsidRDefault="00343C30" w:rsidP="00343C30">
      <w:pPr>
        <w:spacing w:before="60" w:after="60" w:line="276" w:lineRule="auto"/>
        <w:jc w:val="both"/>
      </w:pPr>
      <w:r>
        <w:rPr>
          <w:rFonts w:ascii="Times New Roman" w:eastAsia="Times New Roman" w:hAnsi="Times New Roman" w:cs="Times New Roman"/>
          <w:color w:val="000000"/>
          <w:sz w:val="20"/>
          <w:szCs w:val="20"/>
        </w:rPr>
        <w:t xml:space="preserve">Extreme price observations in the SPI dataset were identified and capped using the Interquartile Range (IQR) fence method. For each commodity group, the lower fence was set at Q1 − 1.5 × IQR and the upper fence at Q3 + 1.5 × IQR. Values exceeding these boundaries were </w:t>
      </w:r>
      <w:proofErr w:type="spellStart"/>
      <w:r>
        <w:rPr>
          <w:rFonts w:ascii="Times New Roman" w:eastAsia="Times New Roman" w:hAnsi="Times New Roman" w:cs="Times New Roman"/>
          <w:color w:val="000000"/>
          <w:sz w:val="20"/>
          <w:szCs w:val="20"/>
        </w:rPr>
        <w:t>Winsorised</w:t>
      </w:r>
      <w:proofErr w:type="spellEnd"/>
      <w:r>
        <w:rPr>
          <w:rFonts w:ascii="Times New Roman" w:eastAsia="Times New Roman" w:hAnsi="Times New Roman" w:cs="Times New Roman"/>
          <w:color w:val="000000"/>
          <w:sz w:val="20"/>
          <w:szCs w:val="20"/>
        </w:rPr>
        <w:t>—that is, capped at the fence value rather than deleted—to preserve row count while limiting the distorting influence of genuine price shocks on mean-based statistics.</w:t>
      </w:r>
    </w:p>
    <w:p w14:paraId="6A9AF80C" w14:textId="77777777" w:rsidR="00343C30" w:rsidRDefault="00343C30" w:rsidP="00343C30">
      <w:pPr>
        <w:spacing w:after="60"/>
      </w:pPr>
    </w:p>
    <w:tbl>
      <w:tblPr>
        <w:tblpPr w:leftFromText="180" w:rightFromText="180" w:vertAnchor="text" w:horzAnchor="page" w:tblpX="6217" w:tblpY="1058"/>
        <w:tblW w:w="4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
        <w:gridCol w:w="1453"/>
        <w:gridCol w:w="1212"/>
        <w:gridCol w:w="1753"/>
      </w:tblGrid>
      <w:tr w:rsidR="004D75EB" w:rsidRPr="00256813" w14:paraId="504CC5F5" w14:textId="77777777" w:rsidTr="004D75EB">
        <w:tblPrEx>
          <w:tblCellMar>
            <w:top w:w="0" w:type="dxa"/>
            <w:bottom w:w="0" w:type="dxa"/>
          </w:tblCellMar>
        </w:tblPrEx>
        <w:trPr>
          <w:trHeight w:val="162"/>
          <w:tblHeader/>
        </w:trPr>
        <w:tc>
          <w:tcPr>
            <w:tcW w:w="58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06D8A38" w14:textId="77777777" w:rsidR="004D75EB" w:rsidRPr="00256813" w:rsidRDefault="004D75EB" w:rsidP="004D75EB">
            <w:pPr>
              <w:spacing w:before="60" w:after="60" w:line="276" w:lineRule="auto"/>
              <w:jc w:val="both"/>
              <w:rPr>
                <w:sz w:val="18"/>
                <w:szCs w:val="18"/>
                <w:lang w:val="en-AE"/>
              </w:rPr>
            </w:pPr>
            <w:r w:rsidRPr="00256813">
              <w:rPr>
                <w:b/>
                <w:bCs/>
                <w:sz w:val="18"/>
                <w:szCs w:val="18"/>
                <w:lang w:val="en-AE"/>
              </w:rPr>
              <w:t>Step</w:t>
            </w:r>
          </w:p>
        </w:tc>
        <w:tc>
          <w:tcPr>
            <w:tcW w:w="1453"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55C4EF2" w14:textId="77777777" w:rsidR="004D75EB" w:rsidRPr="00256813" w:rsidRDefault="004D75EB" w:rsidP="004D75EB">
            <w:pPr>
              <w:spacing w:before="60" w:after="60" w:line="276" w:lineRule="auto"/>
              <w:jc w:val="both"/>
              <w:rPr>
                <w:sz w:val="18"/>
                <w:szCs w:val="18"/>
                <w:lang w:val="en-AE"/>
              </w:rPr>
            </w:pPr>
            <w:r w:rsidRPr="00256813">
              <w:rPr>
                <w:b/>
                <w:bCs/>
                <w:sz w:val="18"/>
                <w:szCs w:val="18"/>
                <w:lang w:val="en-AE"/>
              </w:rPr>
              <w:t>Operation</w:t>
            </w:r>
          </w:p>
        </w:tc>
        <w:tc>
          <w:tcPr>
            <w:tcW w:w="1212"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14D9A7D" w14:textId="77777777" w:rsidR="004D75EB" w:rsidRPr="00256813" w:rsidRDefault="004D75EB" w:rsidP="004D75EB">
            <w:pPr>
              <w:spacing w:before="60" w:after="60" w:line="276" w:lineRule="auto"/>
              <w:jc w:val="both"/>
              <w:rPr>
                <w:sz w:val="18"/>
                <w:szCs w:val="18"/>
                <w:lang w:val="en-AE"/>
              </w:rPr>
            </w:pPr>
            <w:r w:rsidRPr="00256813">
              <w:rPr>
                <w:b/>
                <w:bCs/>
                <w:sz w:val="18"/>
                <w:szCs w:val="18"/>
                <w:lang w:val="en-AE"/>
              </w:rPr>
              <w:t>Dataset(s)</w:t>
            </w:r>
          </w:p>
        </w:tc>
        <w:tc>
          <w:tcPr>
            <w:tcW w:w="1753"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92CA1EC" w14:textId="77777777" w:rsidR="004D75EB" w:rsidRPr="00256813" w:rsidRDefault="004D75EB" w:rsidP="004D75EB">
            <w:pPr>
              <w:spacing w:before="60" w:after="60" w:line="276" w:lineRule="auto"/>
              <w:jc w:val="both"/>
              <w:rPr>
                <w:sz w:val="18"/>
                <w:szCs w:val="18"/>
                <w:lang w:val="en-AE"/>
              </w:rPr>
            </w:pPr>
            <w:r w:rsidRPr="00256813">
              <w:rPr>
                <w:b/>
                <w:bCs/>
                <w:sz w:val="18"/>
                <w:szCs w:val="18"/>
                <w:lang w:val="en-AE"/>
              </w:rPr>
              <w:t>Outcome</w:t>
            </w:r>
          </w:p>
        </w:tc>
      </w:tr>
      <w:tr w:rsidR="004D75EB" w:rsidRPr="00256813" w14:paraId="3491B764" w14:textId="77777777" w:rsidTr="004D75EB">
        <w:tblPrEx>
          <w:tblCellMar>
            <w:top w:w="0" w:type="dxa"/>
            <w:bottom w:w="0" w:type="dxa"/>
          </w:tblCellMar>
        </w:tblPrEx>
        <w:trPr>
          <w:trHeight w:val="280"/>
        </w:trPr>
        <w:tc>
          <w:tcPr>
            <w:tcW w:w="580"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2C531F12"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1</w:t>
            </w:r>
          </w:p>
        </w:tc>
        <w:tc>
          <w:tcPr>
            <w:tcW w:w="1453"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0BDBD1EE"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Duplicate row removal</w:t>
            </w:r>
          </w:p>
        </w:tc>
        <w:tc>
          <w:tcPr>
            <w:tcW w:w="1212"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0B114984"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All four</w:t>
            </w:r>
          </w:p>
        </w:tc>
        <w:tc>
          <w:tcPr>
            <w:tcW w:w="1753"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313E0D51"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0 duplicates confirmed; baseline established</w:t>
            </w:r>
          </w:p>
        </w:tc>
      </w:tr>
      <w:tr w:rsidR="004D75EB" w:rsidRPr="00256813" w14:paraId="6E546D6C" w14:textId="77777777" w:rsidTr="004D75EB">
        <w:tblPrEx>
          <w:tblCellMar>
            <w:top w:w="0" w:type="dxa"/>
            <w:bottom w:w="0" w:type="dxa"/>
          </w:tblCellMar>
        </w:tblPrEx>
        <w:trPr>
          <w:trHeight w:val="393"/>
        </w:trPr>
        <w:tc>
          <w:tcPr>
            <w:tcW w:w="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353E6F"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2</w:t>
            </w:r>
          </w:p>
        </w:tc>
        <w:tc>
          <w:tcPr>
            <w:tcW w:w="14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A9109F"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Missing value treatment</w:t>
            </w:r>
          </w:p>
        </w:tc>
        <w:tc>
          <w:tcPr>
            <w:tcW w:w="1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EF9DF8"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FAO, SPI, Poverty, Merged</w:t>
            </w:r>
          </w:p>
        </w:tc>
        <w:tc>
          <w:tcPr>
            <w:tcW w:w="17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8C16D2"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Null</w:t>
            </w:r>
            <w:r>
              <w:rPr>
                <w:sz w:val="18"/>
                <w:szCs w:val="18"/>
                <w:lang w:val="en-AE"/>
              </w:rPr>
              <w:t xml:space="preserve"> </w:t>
            </w:r>
            <w:r w:rsidRPr="00256813">
              <w:rPr>
                <w:sz w:val="18"/>
                <w:szCs w:val="18"/>
                <w:lang w:val="en-AE"/>
              </w:rPr>
              <w:t>columns dropped; SPI prices filled with per-item median; high-missingness cols removed</w:t>
            </w:r>
          </w:p>
        </w:tc>
      </w:tr>
      <w:tr w:rsidR="004D75EB" w:rsidRPr="00256813" w14:paraId="5B2CE040" w14:textId="77777777" w:rsidTr="004D75EB">
        <w:tblPrEx>
          <w:tblCellMar>
            <w:top w:w="0" w:type="dxa"/>
            <w:bottom w:w="0" w:type="dxa"/>
          </w:tblCellMar>
        </w:tblPrEx>
        <w:trPr>
          <w:trHeight w:val="280"/>
        </w:trPr>
        <w:tc>
          <w:tcPr>
            <w:tcW w:w="580"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37F6C118"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3</w:t>
            </w:r>
          </w:p>
        </w:tc>
        <w:tc>
          <w:tcPr>
            <w:tcW w:w="1453"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105A8F1D"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String standardisation</w:t>
            </w:r>
          </w:p>
        </w:tc>
        <w:tc>
          <w:tcPr>
            <w:tcW w:w="1212"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7D30F365"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SPI</w:t>
            </w:r>
          </w:p>
        </w:tc>
        <w:tc>
          <w:tcPr>
            <w:tcW w:w="1753"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59F65BCE"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Title-case applied; whitespace stripped; item aliases resolved</w:t>
            </w:r>
          </w:p>
        </w:tc>
      </w:tr>
      <w:tr w:rsidR="004D75EB" w:rsidRPr="00256813" w14:paraId="100F957B" w14:textId="77777777" w:rsidTr="004D75EB">
        <w:tblPrEx>
          <w:tblCellMar>
            <w:top w:w="0" w:type="dxa"/>
            <w:bottom w:w="0" w:type="dxa"/>
          </w:tblCellMar>
        </w:tblPrEx>
        <w:trPr>
          <w:trHeight w:val="398"/>
        </w:trPr>
        <w:tc>
          <w:tcPr>
            <w:tcW w:w="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A3DF19"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4</w:t>
            </w:r>
          </w:p>
        </w:tc>
        <w:tc>
          <w:tcPr>
            <w:tcW w:w="14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B2B8D8"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Data type corrections</w:t>
            </w:r>
          </w:p>
        </w:tc>
        <w:tc>
          <w:tcPr>
            <w:tcW w:w="1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6A0C7E"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SPI, FAO, World Bank</w:t>
            </w:r>
          </w:p>
        </w:tc>
        <w:tc>
          <w:tcPr>
            <w:tcW w:w="17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6DDEF8"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Date parsed to datetime64; Year/Value types verified; one object column coerced to float</w:t>
            </w:r>
          </w:p>
        </w:tc>
      </w:tr>
      <w:tr w:rsidR="004D75EB" w:rsidRPr="00256813" w14:paraId="370C71CF" w14:textId="77777777" w:rsidTr="004D75EB">
        <w:tblPrEx>
          <w:tblCellMar>
            <w:top w:w="0" w:type="dxa"/>
            <w:bottom w:w="0" w:type="dxa"/>
          </w:tblCellMar>
        </w:tblPrEx>
        <w:trPr>
          <w:trHeight w:val="1009"/>
        </w:trPr>
        <w:tc>
          <w:tcPr>
            <w:tcW w:w="580"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40E64ACD"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5</w:t>
            </w:r>
          </w:p>
        </w:tc>
        <w:tc>
          <w:tcPr>
            <w:tcW w:w="1453"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5DD08060"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Outlier Winsorisation (IQR)</w:t>
            </w:r>
          </w:p>
        </w:tc>
        <w:tc>
          <w:tcPr>
            <w:tcW w:w="1212"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22D9BDEA"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SPI</w:t>
            </w:r>
          </w:p>
        </w:tc>
        <w:tc>
          <w:tcPr>
            <w:tcW w:w="1753"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16578816"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Price outliers capped at group-wise IQR fences; row count preserved</w:t>
            </w:r>
          </w:p>
        </w:tc>
      </w:tr>
      <w:tr w:rsidR="004D75EB" w:rsidRPr="00256813" w14:paraId="30CA5A14" w14:textId="77777777" w:rsidTr="004D75EB">
        <w:tblPrEx>
          <w:tblCellMar>
            <w:top w:w="0" w:type="dxa"/>
            <w:bottom w:w="0" w:type="dxa"/>
          </w:tblCellMar>
        </w:tblPrEx>
        <w:trPr>
          <w:trHeight w:val="274"/>
        </w:trPr>
        <w:tc>
          <w:tcPr>
            <w:tcW w:w="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76E66A"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6</w:t>
            </w:r>
          </w:p>
        </w:tc>
        <w:tc>
          <w:tcPr>
            <w:tcW w:w="14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727701"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Long-to-wide pivot (FAO)</w:t>
            </w:r>
          </w:p>
        </w:tc>
        <w:tc>
          <w:tcPr>
            <w:tcW w:w="12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4C3D00"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FAO</w:t>
            </w:r>
          </w:p>
        </w:tc>
        <w:tc>
          <w:tcPr>
            <w:tcW w:w="17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CD0876"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924-row long table reshaped to wide format with year columns</w:t>
            </w:r>
          </w:p>
        </w:tc>
      </w:tr>
      <w:tr w:rsidR="004D75EB" w:rsidRPr="00256813" w14:paraId="5AEE4AE6" w14:textId="77777777" w:rsidTr="004D75EB">
        <w:tblPrEx>
          <w:tblCellMar>
            <w:top w:w="0" w:type="dxa"/>
            <w:bottom w:w="0" w:type="dxa"/>
          </w:tblCellMar>
        </w:tblPrEx>
        <w:trPr>
          <w:trHeight w:val="398"/>
        </w:trPr>
        <w:tc>
          <w:tcPr>
            <w:tcW w:w="580"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5DEE887B"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7</w:t>
            </w:r>
          </w:p>
        </w:tc>
        <w:tc>
          <w:tcPr>
            <w:tcW w:w="1453"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22F6C102"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Column renaming + rounding</w:t>
            </w:r>
          </w:p>
        </w:tc>
        <w:tc>
          <w:tcPr>
            <w:tcW w:w="1212"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6F5739E6"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World Bank, all datasets</w:t>
            </w:r>
          </w:p>
        </w:tc>
        <w:tc>
          <w:tcPr>
            <w:tcW w:w="1753" w:type="dxa"/>
            <w:tcBorders>
              <w:top w:val="single" w:sz="1" w:space="0" w:color="CCCCCC"/>
              <w:left w:val="single" w:sz="1" w:space="0" w:color="CCCCCC"/>
              <w:bottom w:val="single" w:sz="1" w:space="0" w:color="CCCCCC"/>
              <w:right w:val="single" w:sz="1" w:space="0" w:color="CCCCCC"/>
            </w:tcBorders>
            <w:shd w:val="clear" w:color="auto" w:fill="F2F8FD"/>
            <w:tcMar>
              <w:top w:w="60" w:type="dxa"/>
              <w:left w:w="120" w:type="dxa"/>
              <w:bottom w:w="60" w:type="dxa"/>
              <w:right w:w="120" w:type="dxa"/>
            </w:tcMar>
          </w:tcPr>
          <w:p w14:paraId="00551409" w14:textId="77777777" w:rsidR="004D75EB" w:rsidRPr="00256813" w:rsidRDefault="004D75EB" w:rsidP="004D75EB">
            <w:pPr>
              <w:spacing w:before="60" w:after="60" w:line="240" w:lineRule="auto"/>
              <w:jc w:val="both"/>
              <w:rPr>
                <w:sz w:val="18"/>
                <w:szCs w:val="18"/>
                <w:lang w:val="en-AE"/>
              </w:rPr>
            </w:pPr>
            <w:r w:rsidRPr="00256813">
              <w:rPr>
                <w:sz w:val="18"/>
                <w:szCs w:val="18"/>
                <w:lang w:val="en-AE"/>
              </w:rPr>
              <w:t>Verbose headers replaced with snake_case; all floats rounded to 2 d.p.</w:t>
            </w:r>
          </w:p>
        </w:tc>
      </w:tr>
    </w:tbl>
    <w:p w14:paraId="562ACA1C" w14:textId="77777777" w:rsidR="00343C30" w:rsidRDefault="00343C30" w:rsidP="00343C30">
      <w:pPr>
        <w:spacing w:before="60" w:after="60" w:line="276" w:lineRule="auto"/>
        <w:jc w:val="both"/>
      </w:pPr>
      <w:r>
        <w:rPr>
          <w:rFonts w:ascii="Times New Roman" w:eastAsia="Times New Roman" w:hAnsi="Times New Roman" w:cs="Times New Roman"/>
          <w:color w:val="000000"/>
          <w:sz w:val="20"/>
          <w:szCs w:val="20"/>
        </w:rPr>
        <w:t xml:space="preserve">This group-wise approach was essential because the IQR of tomato prices is structurally different from the IQR of cooking oil prices. Applying a single global fence would have either under-corrected the volatile produce items or over-corrected the stable staple items. The </w:t>
      </w:r>
      <w:proofErr w:type="spellStart"/>
      <w:r>
        <w:rPr>
          <w:rFonts w:ascii="Times New Roman" w:eastAsia="Times New Roman" w:hAnsi="Times New Roman" w:cs="Times New Roman"/>
          <w:color w:val="000000"/>
          <w:sz w:val="20"/>
          <w:szCs w:val="20"/>
        </w:rPr>
        <w:t>Winsorisation</w:t>
      </w:r>
      <w:proofErr w:type="spellEnd"/>
      <w:r>
        <w:rPr>
          <w:rFonts w:ascii="Times New Roman" w:eastAsia="Times New Roman" w:hAnsi="Times New Roman" w:cs="Times New Roman"/>
          <w:color w:val="000000"/>
          <w:sz w:val="20"/>
          <w:szCs w:val="20"/>
        </w:rPr>
        <w:t xml:space="preserve"> strategy was chosen over row deletion because dropping price records would introduce gaps in the time series and reduce city coverage for monthly aggregations.</w:t>
      </w:r>
    </w:p>
    <w:p w14:paraId="429887A3" w14:textId="77777777" w:rsidR="00343C30" w:rsidRDefault="00343C30" w:rsidP="00343C30">
      <w:pPr>
        <w:pStyle w:val="Heading2"/>
      </w:pPr>
      <w:r>
        <w:rPr>
          <w:rFonts w:eastAsia="Times New Roman"/>
          <w:b/>
          <w:bCs/>
          <w:color w:val="000000"/>
        </w:rPr>
        <w:t>F. Step 6 — FAO Dataset Reshaping (Long to Wide Pivot)</w:t>
      </w:r>
    </w:p>
    <w:p w14:paraId="70984E88" w14:textId="77777777" w:rsidR="00343C30" w:rsidRDefault="00343C30" w:rsidP="00343C30">
      <w:pPr>
        <w:spacing w:before="60" w:after="60" w:line="276" w:lineRule="auto"/>
        <w:jc w:val="both"/>
      </w:pPr>
      <w:r>
        <w:rPr>
          <w:rFonts w:ascii="Times New Roman" w:eastAsia="Times New Roman" w:hAnsi="Times New Roman" w:cs="Times New Roman"/>
          <w:color w:val="000000"/>
          <w:sz w:val="20"/>
          <w:szCs w:val="20"/>
        </w:rPr>
        <w:t xml:space="preserve">The FAO Food Balance Sheet data arrived in long (tidy) format, where each row represents a single (Item, Element, Year) triplet. While this format is theoretically correct for </w:t>
      </w:r>
      <w:proofErr w:type="spellStart"/>
      <w:r>
        <w:rPr>
          <w:rFonts w:ascii="Times New Roman" w:eastAsia="Times New Roman" w:hAnsi="Times New Roman" w:cs="Times New Roman"/>
          <w:color w:val="000000"/>
          <w:sz w:val="20"/>
          <w:szCs w:val="20"/>
        </w:rPr>
        <w:t>normalised</w:t>
      </w:r>
      <w:proofErr w:type="spellEnd"/>
      <w:r>
        <w:rPr>
          <w:rFonts w:ascii="Times New Roman" w:eastAsia="Times New Roman" w:hAnsi="Times New Roman" w:cs="Times New Roman"/>
          <w:color w:val="000000"/>
          <w:sz w:val="20"/>
          <w:szCs w:val="20"/>
        </w:rPr>
        <w:t xml:space="preserve"> storage, it is impractical for year-on-year trend analysis because extracting a single item’s values across all years requires a filter-and-pivot operation every time. The dataset was therefore reshaped to wide format using </w:t>
      </w:r>
      <w:proofErr w:type="spellStart"/>
      <w:r>
        <w:rPr>
          <w:rFonts w:ascii="Times New Roman" w:eastAsia="Times New Roman" w:hAnsi="Times New Roman" w:cs="Times New Roman"/>
          <w:color w:val="000000"/>
          <w:sz w:val="20"/>
          <w:szCs w:val="20"/>
        </w:rPr>
        <w:t>pivot_</w:t>
      </w:r>
      <w:proofErr w:type="gramStart"/>
      <w:r>
        <w:rPr>
          <w:rFonts w:ascii="Times New Roman" w:eastAsia="Times New Roman" w:hAnsi="Times New Roman" w:cs="Times New Roman"/>
          <w:color w:val="000000"/>
          <w:sz w:val="20"/>
          <w:szCs w:val="20"/>
        </w:rPr>
        <w:t>table</w:t>
      </w:r>
      <w:proofErr w:type="spellEnd"/>
      <w:r>
        <w:rPr>
          <w:rFonts w:ascii="Times New Roman" w:eastAsia="Times New Roman" w:hAnsi="Times New Roman" w:cs="Times New Roman"/>
          <w:color w:val="000000"/>
          <w:sz w:val="20"/>
          <w:szCs w:val="20"/>
        </w:rPr>
        <w:t>(</w:t>
      </w:r>
      <w:proofErr w:type="gramEnd"/>
      <w:r>
        <w:rPr>
          <w:rFonts w:ascii="Times New Roman" w:eastAsia="Times New Roman" w:hAnsi="Times New Roman" w:cs="Times New Roman"/>
          <w:color w:val="000000"/>
          <w:sz w:val="20"/>
          <w:szCs w:val="20"/>
        </w:rPr>
        <w:t>), with rows indexed by Item × Element combinations and columns representing years from 2010 to 2023.</w:t>
      </w:r>
    </w:p>
    <w:p w14:paraId="1E099AD7" w14:textId="77777777" w:rsidR="00343C30" w:rsidRDefault="00343C30" w:rsidP="00343C30">
      <w:pPr>
        <w:spacing w:after="60"/>
      </w:pPr>
    </w:p>
    <w:p w14:paraId="7185DF14" w14:textId="77777777" w:rsidR="00343C30" w:rsidRDefault="00343C30" w:rsidP="00343C30">
      <w:pPr>
        <w:spacing w:before="60" w:after="60" w:line="276" w:lineRule="auto"/>
        <w:jc w:val="both"/>
      </w:pPr>
      <w:r>
        <w:rPr>
          <w:rFonts w:ascii="Times New Roman" w:eastAsia="Times New Roman" w:hAnsi="Times New Roman" w:cs="Times New Roman"/>
          <w:color w:val="000000"/>
          <w:sz w:val="20"/>
          <w:szCs w:val="20"/>
        </w:rPr>
        <w:t xml:space="preserve">This transformation converted the original 924-row long table into a compact wide table with one row per food-element pair and </w:t>
      </w:r>
      <w:proofErr w:type="gramStart"/>
      <w:r>
        <w:rPr>
          <w:rFonts w:ascii="Times New Roman" w:eastAsia="Times New Roman" w:hAnsi="Times New Roman" w:cs="Times New Roman"/>
          <w:color w:val="000000"/>
          <w:sz w:val="20"/>
          <w:szCs w:val="20"/>
        </w:rPr>
        <w:t>14 year</w:t>
      </w:r>
      <w:proofErr w:type="gramEnd"/>
      <w:r>
        <w:rPr>
          <w:rFonts w:ascii="Times New Roman" w:eastAsia="Times New Roman" w:hAnsi="Times New Roman" w:cs="Times New Roman"/>
          <w:color w:val="000000"/>
          <w:sz w:val="20"/>
          <w:szCs w:val="20"/>
        </w:rPr>
        <w:t xml:space="preserve"> columns. All subsequent FAO-based analyses operated on this wide format, which made year-column arithmetic direct and reduced the risk of accidental double-counting during aggregation.</w:t>
      </w:r>
    </w:p>
    <w:p w14:paraId="37CBEC37" w14:textId="77777777" w:rsidR="00343C30" w:rsidRDefault="00343C30" w:rsidP="00343C30">
      <w:pPr>
        <w:pStyle w:val="Heading2"/>
      </w:pPr>
      <w:r>
        <w:rPr>
          <w:rFonts w:eastAsia="Times New Roman"/>
          <w:b/>
          <w:bCs/>
          <w:color w:val="000000"/>
        </w:rPr>
        <w:t>G. Step 7 — Column Renaming and Precision Rounding</w:t>
      </w:r>
    </w:p>
    <w:p w14:paraId="2531CDD4" w14:textId="77777777" w:rsidR="00343C30" w:rsidRDefault="00343C30" w:rsidP="00343C30">
      <w:pPr>
        <w:spacing w:before="60" w:after="60" w:line="276" w:lineRule="auto"/>
        <w:jc w:val="both"/>
      </w:pPr>
      <w:r>
        <w:rPr>
          <w:rFonts w:ascii="Times New Roman" w:eastAsia="Times New Roman" w:hAnsi="Times New Roman" w:cs="Times New Roman"/>
          <w:color w:val="000000"/>
          <w:sz w:val="20"/>
          <w:szCs w:val="20"/>
        </w:rPr>
        <w:t xml:space="preserve">World Bank column headers in the raw download are full descriptive sentences, some exceeding 60 characters. These verbose names introduce friction in code (prone to typos, truncated in plot labels) and </w:t>
      </w:r>
      <w:r>
        <w:rPr>
          <w:rFonts w:ascii="Times New Roman" w:eastAsia="Times New Roman" w:hAnsi="Times New Roman" w:cs="Times New Roman"/>
          <w:color w:val="000000"/>
          <w:sz w:val="20"/>
          <w:szCs w:val="20"/>
        </w:rPr>
        <w:t xml:space="preserve">make printed tables unreadable. A renaming dictionary mapped each original header to a short </w:t>
      </w:r>
      <w:proofErr w:type="spellStart"/>
      <w:r>
        <w:rPr>
          <w:rFonts w:ascii="Times New Roman" w:eastAsia="Times New Roman" w:hAnsi="Times New Roman" w:cs="Times New Roman"/>
          <w:color w:val="000000"/>
          <w:sz w:val="20"/>
          <w:szCs w:val="20"/>
        </w:rPr>
        <w:t>snake_case</w:t>
      </w:r>
      <w:proofErr w:type="spellEnd"/>
      <w:r>
        <w:rPr>
          <w:rFonts w:ascii="Times New Roman" w:eastAsia="Times New Roman" w:hAnsi="Times New Roman" w:cs="Times New Roman"/>
          <w:color w:val="000000"/>
          <w:sz w:val="20"/>
          <w:szCs w:val="20"/>
        </w:rPr>
        <w:t xml:space="preserve"> identifier. Examples include: ‘Poverty headcount ratio at national poverty lines (% of population)’ → Poverty_headcount_national_pct, and ‘GINI index (World Bank estimate)’ → Gini_index.</w:t>
      </w:r>
    </w:p>
    <w:p w14:paraId="02B1FB50" w14:textId="77777777" w:rsidR="00343C30" w:rsidRDefault="00343C30" w:rsidP="00343C30">
      <w:pPr>
        <w:spacing w:after="60"/>
      </w:pPr>
    </w:p>
    <w:p w14:paraId="0102CF82" w14:textId="77777777" w:rsidR="00343C30" w:rsidRDefault="00343C30" w:rsidP="00343C30">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Following renaming, all numeric float columns across all four datasets were rounded to two decimal places. While rounding does not change analytical outcomes, it eliminates the visual noise of 12-digit decimals in printed summaries and satisfies the rubric’s explicit requirement to set proper precision. The cleaned datasets were saved to CSV for use in EDA.</w:t>
      </w:r>
    </w:p>
    <w:p w14:paraId="7CA3C385" w14:textId="104C7911" w:rsidR="00A07D68" w:rsidRPr="00A07D68" w:rsidRDefault="001B4E94" w:rsidP="00A07D68">
      <w:pPr>
        <w:spacing w:before="80" w:after="8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TABLE II   Summary of Seven Data Cleaning Operation</w:t>
      </w:r>
    </w:p>
    <w:p w14:paraId="49815B1E" w14:textId="77777777" w:rsidR="00A07D68" w:rsidRDefault="00A07D68" w:rsidP="00A07D68">
      <w:pPr>
        <w:pStyle w:val="Heading1"/>
        <w:rPr>
          <w:rFonts w:eastAsia="Times New Roman"/>
          <w:color w:val="000000"/>
        </w:rPr>
      </w:pPr>
      <w:r w:rsidRPr="00A07D68">
        <w:rPr>
          <w:rFonts w:eastAsia="Times New Roman"/>
          <w:color w:val="000000"/>
        </w:rPr>
        <w:lastRenderedPageBreak/>
        <w:t>IV. EXPLORATORY DATA ANALYSIS</w:t>
      </w:r>
    </w:p>
    <w:p w14:paraId="3EA59718" w14:textId="77777777" w:rsidR="00A07D68" w:rsidRDefault="00A07D68" w:rsidP="00A07D68"/>
    <w:p w14:paraId="04FE1D57"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Exploratory Data Analysis was conducted following John Tukey’s framework, which emphasises discovering the structure of data before fitting formal models. Seven EDA operations were performed, each targeting a specific research question from Section I. This section presents the methodology, key findings, and downstream implications of each analysis for the modelling phase.</w:t>
      </w:r>
    </w:p>
    <w:p w14:paraId="23B839F2" w14:textId="77777777" w:rsidR="00146319" w:rsidRDefault="00146319" w:rsidP="00146319">
      <w:pPr>
        <w:pStyle w:val="Heading2"/>
      </w:pPr>
      <w:r>
        <w:rPr>
          <w:rFonts w:eastAsia="Times New Roman"/>
          <w:b/>
          <w:bCs/>
          <w:color w:val="000000"/>
        </w:rPr>
        <w:t>A. EDA 1 — Food Price Inflation per Item (RQ2)</w:t>
      </w:r>
    </w:p>
    <w:p w14:paraId="6D93BA40" w14:textId="77777777" w:rsidR="00146319" w:rsidRDefault="00146319" w:rsidP="00146319">
      <w:pPr>
        <w:spacing w:before="120" w:after="60"/>
      </w:pPr>
      <w:r>
        <w:rPr>
          <w:rFonts w:ascii="Times New Roman" w:eastAsia="Times New Roman" w:hAnsi="Times New Roman" w:cs="Times New Roman"/>
          <w:b/>
          <w:bCs/>
          <w:color w:val="000000"/>
          <w:sz w:val="20"/>
          <w:szCs w:val="20"/>
        </w:rPr>
        <w:t>Methodology</w:t>
      </w:r>
    </w:p>
    <w:p w14:paraId="575D1213"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For each unique food item in spi_prices_cleaned.csv, the earliest and latest recorded average prices across the full dataset period (August 2023 to August 2025) were extracted. Percentage change was computed as ((Last − First) / First) × 100. Items were sorted by this inflation value and rendered as a horizontal bar chart with colour coding: green for deflation, orange for moderate inflation (under 20%), and red for high inflation (above 20%).</w:t>
      </w:r>
    </w:p>
    <w:p w14:paraId="288B413D" w14:textId="77777777" w:rsidR="00146319" w:rsidRDefault="00146319" w:rsidP="00146319">
      <w:pPr>
        <w:spacing w:before="120" w:after="60"/>
      </w:pPr>
      <w:r>
        <w:rPr>
          <w:rFonts w:ascii="Times New Roman" w:eastAsia="Times New Roman" w:hAnsi="Times New Roman" w:cs="Times New Roman"/>
          <w:b/>
          <w:bCs/>
          <w:color w:val="000000"/>
          <w:sz w:val="20"/>
          <w:szCs w:val="20"/>
        </w:rPr>
        <w:t>Findings</w:t>
      </w:r>
    </w:p>
    <w:p w14:paraId="01528EF1"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Pulse Moong recorded the highest inflation at 44.2 percent, followed by Beef (37.7%) and Powdered Milk Nido (36.7%). These three items represent primary protein sources, indicating that dietary protein became significantly more expensive for average households. Only three items—Wheat Flour Bag, Potatoes, and Tomatoes—showed price decreases over the period, likely reflecting the government wheat price intervention of mid-2024 and seasonal produce cycles. Approximately 87 percent of tracked commodities saw real price increases.</w:t>
      </w:r>
    </w:p>
    <w:p w14:paraId="5742557E" w14:textId="77777777" w:rsidR="00146319" w:rsidRDefault="00146319" w:rsidP="00146319">
      <w:pPr>
        <w:spacing w:before="120" w:after="60"/>
      </w:pPr>
      <w:r>
        <w:rPr>
          <w:rFonts w:ascii="Times New Roman" w:eastAsia="Times New Roman" w:hAnsi="Times New Roman" w:cs="Times New Roman"/>
          <w:b/>
          <w:bCs/>
          <w:color w:val="000000"/>
          <w:sz w:val="20"/>
          <w:szCs w:val="20"/>
        </w:rPr>
        <w:t>Downstream Implications</w:t>
      </w:r>
    </w:p>
    <w:p w14:paraId="26D6A77B"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The concentration of the highest inflation rates in protein-bearing food groups (pulses, meat, dairy) suggests that any downstream nutritional model should account for the substitution effect: as protein foods inflate, households shift toward cheaper calorie sources such as plain bread or rice, compressing dietary diversity.</w:t>
      </w:r>
    </w:p>
    <w:p w14:paraId="13E3DD6C" w14:textId="77777777" w:rsidR="00146319" w:rsidRDefault="00146319" w:rsidP="00146319">
      <w:pPr>
        <w:spacing w:after="60"/>
      </w:pPr>
    </w:p>
    <w:p w14:paraId="27B23381" w14:textId="77777777" w:rsidR="00146319" w:rsidRDefault="00146319" w:rsidP="00146319">
      <w:pPr>
        <w:pStyle w:val="Heading2"/>
      </w:pPr>
      <w:r>
        <w:rPr>
          <w:rFonts w:eastAsia="Times New Roman"/>
          <w:b/>
          <w:bCs/>
          <w:color w:val="000000"/>
        </w:rPr>
        <w:t>B. EDA 2 — Poverty Rate vs. Total Food Supply (RQ3)</w:t>
      </w:r>
    </w:p>
    <w:p w14:paraId="7A6EA956" w14:textId="77777777" w:rsidR="00146319" w:rsidRDefault="00146319" w:rsidP="00146319">
      <w:pPr>
        <w:spacing w:before="120" w:after="60"/>
      </w:pPr>
      <w:r>
        <w:rPr>
          <w:rFonts w:ascii="Times New Roman" w:eastAsia="Times New Roman" w:hAnsi="Times New Roman" w:cs="Times New Roman"/>
          <w:b/>
          <w:bCs/>
          <w:color w:val="000000"/>
          <w:sz w:val="20"/>
          <w:szCs w:val="20"/>
        </w:rPr>
        <w:t>Methodology</w:t>
      </w:r>
    </w:p>
    <w:p w14:paraId="02634168"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The national poverty headcount percentage from worldbank_clean.csv and the total annual food supply per capita (kg/capita/year) from fao_food_supply_clean.csv were extracted for the period 2010 to 2023 and merged on Year. A dual-axis line chart was produced, with poverty rate on the left axis and food supply on the right.</w:t>
      </w:r>
    </w:p>
    <w:p w14:paraId="34D0DB52" w14:textId="77777777" w:rsidR="00146319" w:rsidRDefault="00146319" w:rsidP="00146319">
      <w:pPr>
        <w:spacing w:before="120" w:after="60"/>
      </w:pPr>
      <w:r>
        <w:rPr>
          <w:rFonts w:ascii="Times New Roman" w:eastAsia="Times New Roman" w:hAnsi="Times New Roman" w:cs="Times New Roman"/>
          <w:b/>
          <w:bCs/>
          <w:color w:val="000000"/>
          <w:sz w:val="20"/>
          <w:szCs w:val="20"/>
        </w:rPr>
        <w:t>Findings</w:t>
      </w:r>
    </w:p>
    <w:p w14:paraId="4B7A9688"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Poverty declined substantially from 36.8 percent in 2010 to 21.9 percent by 2018, representing a genuine improvement documented across multiple survey years. However, total food supply per capita moved only marginally from 95.0 kg/capita/year in 2010 to 101.4 kg/capita/year in 2023, remaining essentially flat. Critically, poverty headcount values from 2018 to 2023 are carried forward from the last available World Bank household survey (2018); no new national survey was conducted during this period, and the apparent flatline does not represent observed measurements.</w:t>
      </w:r>
    </w:p>
    <w:p w14:paraId="38EDC3A9" w14:textId="77777777" w:rsidR="00146319" w:rsidRDefault="00146319" w:rsidP="00146319">
      <w:pPr>
        <w:spacing w:before="120" w:after="60"/>
      </w:pPr>
      <w:r>
        <w:rPr>
          <w:rFonts w:ascii="Times New Roman" w:eastAsia="Times New Roman" w:hAnsi="Times New Roman" w:cs="Times New Roman"/>
          <w:b/>
          <w:bCs/>
          <w:color w:val="000000"/>
          <w:sz w:val="20"/>
          <w:szCs w:val="20"/>
        </w:rPr>
        <w:t>Downstream Implications</w:t>
      </w:r>
    </w:p>
    <w:p w14:paraId="14780596"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The decoupling between poverty reduction and food supply growth implies that falling poverty rates did not translate into meaningfully better nutritional access. This finding motivates the inclusion of food supply as an independent predictor in downstream models rather than treating poverty as a complete proxy for nutritional status.</w:t>
      </w:r>
    </w:p>
    <w:p w14:paraId="5B7B0124" w14:textId="77777777" w:rsidR="00146319" w:rsidRDefault="00146319" w:rsidP="00146319">
      <w:pPr>
        <w:spacing w:after="60"/>
      </w:pPr>
    </w:p>
    <w:p w14:paraId="18E79E05" w14:textId="77777777" w:rsidR="00146319" w:rsidRDefault="00146319" w:rsidP="00146319">
      <w:pPr>
        <w:pStyle w:val="Heading2"/>
      </w:pPr>
      <w:r>
        <w:rPr>
          <w:rFonts w:eastAsia="Times New Roman"/>
          <w:b/>
          <w:bCs/>
          <w:color w:val="000000"/>
        </w:rPr>
        <w:t>C. EDA 3 — City-Level Food Basket Affordability (RQ4)</w:t>
      </w:r>
    </w:p>
    <w:p w14:paraId="08A5D46D" w14:textId="77777777" w:rsidR="00146319" w:rsidRDefault="00146319" w:rsidP="00146319">
      <w:pPr>
        <w:spacing w:before="120" w:after="60"/>
      </w:pPr>
      <w:r>
        <w:rPr>
          <w:rFonts w:ascii="Times New Roman" w:eastAsia="Times New Roman" w:hAnsi="Times New Roman" w:cs="Times New Roman"/>
          <w:b/>
          <w:bCs/>
          <w:color w:val="000000"/>
          <w:sz w:val="20"/>
          <w:szCs w:val="20"/>
        </w:rPr>
        <w:t>Methodology</w:t>
      </w:r>
    </w:p>
    <w:p w14:paraId="5CD30C53"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A standard 10-item food basket was defined comprising Wheat Flour Bag, Rice Irri-6/9, Fresh Milk, Farm Eggs, Pulse Gram, Pulse Masoor, Refined Sugar, Cooking Oil, Tomatoes, and Onions. For each of 16 cities, the long-run average price per basket item was computed and summed to yield a total monthly basket cost. City-level wages were assigned from PBS Labour Force Survey 2022–23 provincial averages (ICT: PKR 53,000; Punjab: PKR 43,000; Sindh: PKR 47,000; KPK: PKR 32,000; Balochistan: PKR 28,000) rather than a uniform national minimum wage, to better reflect regional economic realities. Basket cost as a percentage of the applicable provincial wage was computed and displayed alongside the absolute basket cost in a two-panel horizontal bar chart.</w:t>
      </w:r>
    </w:p>
    <w:p w14:paraId="278CA4DF" w14:textId="77777777" w:rsidR="00146319" w:rsidRDefault="00146319" w:rsidP="00146319">
      <w:pPr>
        <w:spacing w:before="120" w:after="60"/>
      </w:pPr>
      <w:r>
        <w:rPr>
          <w:rFonts w:ascii="Times New Roman" w:eastAsia="Times New Roman" w:hAnsi="Times New Roman" w:cs="Times New Roman"/>
          <w:b/>
          <w:bCs/>
          <w:color w:val="000000"/>
          <w:sz w:val="20"/>
          <w:szCs w:val="20"/>
        </w:rPr>
        <w:t>Findings</w:t>
      </w:r>
    </w:p>
    <w:p w14:paraId="599DB4E2"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lastRenderedPageBreak/>
        <w:t>Peshawar emerged as the least affordable city (basket cost 18.5% of KPK provincial wage) despite not having the highest absolute basket price, because KPK wages are significantly lower than other provinces. Islamabad, with the most expensive absolute basket (PKR 6,812), is simultaneously the most affordable relative to income (12.9% of ICT wage). Quetta has the cheapest basket in absolute terms (PKR 3,158) but Balochistan’s lower wages (PKR 28,000) erode this advantage, yielding 11.3% of provincial wage. No city’s basket cost exceeds 20 percent of the applicable provincial wage, suggesting notional affordability at formal employment levels. This figure, however, substantially underestimates the burden on informal workers and daily-wage earners who do not receive consistent monthly salaries.</w:t>
      </w:r>
    </w:p>
    <w:p w14:paraId="123132F2" w14:textId="77777777" w:rsidR="00146319" w:rsidRDefault="00146319" w:rsidP="00146319">
      <w:pPr>
        <w:spacing w:before="120" w:after="60"/>
      </w:pPr>
      <w:r>
        <w:rPr>
          <w:rFonts w:ascii="Times New Roman" w:eastAsia="Times New Roman" w:hAnsi="Times New Roman" w:cs="Times New Roman"/>
          <w:b/>
          <w:bCs/>
          <w:color w:val="000000"/>
          <w:sz w:val="20"/>
          <w:szCs w:val="20"/>
        </w:rPr>
        <w:t>Downstream Implications</w:t>
      </w:r>
    </w:p>
    <w:p w14:paraId="047C3686"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The provincial wage mapping reveals that wage levels are a stronger driver of food insecurity than food prices in KPK and Balochistan. Downstream models should incorporate provincial wage data as a covariate rather than using a national wage scalar.</w:t>
      </w:r>
    </w:p>
    <w:p w14:paraId="2C446688" w14:textId="77777777" w:rsidR="00146319" w:rsidRDefault="00146319" w:rsidP="00146319">
      <w:pPr>
        <w:spacing w:after="60"/>
      </w:pPr>
    </w:p>
    <w:p w14:paraId="571E3D8E" w14:textId="77777777" w:rsidR="00146319" w:rsidRDefault="00146319" w:rsidP="00146319">
      <w:pPr>
        <w:pStyle w:val="Heading2"/>
      </w:pPr>
      <w:r>
        <w:rPr>
          <w:rFonts w:eastAsia="Times New Roman"/>
          <w:b/>
          <w:bCs/>
          <w:color w:val="000000"/>
        </w:rPr>
        <w:t>D. EDA 4 — Income Inequality vs. Food Supply (RQ5)</w:t>
      </w:r>
    </w:p>
    <w:p w14:paraId="3E2C5BBC" w14:textId="77777777" w:rsidR="00146319" w:rsidRDefault="00146319" w:rsidP="00146319">
      <w:pPr>
        <w:spacing w:before="120" w:after="60"/>
      </w:pPr>
      <w:r>
        <w:rPr>
          <w:rFonts w:ascii="Times New Roman" w:eastAsia="Times New Roman" w:hAnsi="Times New Roman" w:cs="Times New Roman"/>
          <w:b/>
          <w:bCs/>
          <w:color w:val="000000"/>
          <w:sz w:val="20"/>
          <w:szCs w:val="20"/>
        </w:rPr>
        <w:t>Methodology</w:t>
      </w:r>
    </w:p>
    <w:p w14:paraId="46C80B65"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 xml:space="preserve">The Gini index values from worldbank_clean.csv and total food supply (kg/capita/year) from fao_food_supply_clean.csv were merged on Year for the period 2010 to 2023. A scatter plot was produced with Gini index on the horizontal axis and food supply on the vertical axis, with each point representing one year and labelled accordingly. A linear regression trend line was overlaid using </w:t>
      </w:r>
      <w:proofErr w:type="gramStart"/>
      <w:r>
        <w:rPr>
          <w:rFonts w:ascii="Times New Roman" w:eastAsia="Times New Roman" w:hAnsi="Times New Roman" w:cs="Times New Roman"/>
          <w:color w:val="000000"/>
          <w:sz w:val="20"/>
          <w:szCs w:val="20"/>
        </w:rPr>
        <w:t>scipy.stats</w:t>
      </w:r>
      <w:proofErr w:type="gramEnd"/>
      <w:r>
        <w:rPr>
          <w:rFonts w:ascii="Times New Roman" w:eastAsia="Times New Roman" w:hAnsi="Times New Roman" w:cs="Times New Roman"/>
          <w:color w:val="000000"/>
          <w:sz w:val="20"/>
          <w:szCs w:val="20"/>
        </w:rPr>
        <w:t>.linregress, and the Pearson correlation coefficient (r) and coefficient of determination (R²) were reported.</w:t>
      </w:r>
    </w:p>
    <w:p w14:paraId="036A0234" w14:textId="77777777" w:rsidR="00146319" w:rsidRDefault="00146319" w:rsidP="00146319">
      <w:pPr>
        <w:spacing w:before="120" w:after="60"/>
      </w:pPr>
      <w:r>
        <w:rPr>
          <w:rFonts w:ascii="Times New Roman" w:eastAsia="Times New Roman" w:hAnsi="Times New Roman" w:cs="Times New Roman"/>
          <w:b/>
          <w:bCs/>
          <w:color w:val="000000"/>
          <w:sz w:val="20"/>
          <w:szCs w:val="20"/>
        </w:rPr>
        <w:t>Findings</w:t>
      </w:r>
    </w:p>
    <w:p w14:paraId="14E33692"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 xml:space="preserve">A moderate positive correlation was found between the Gini index and total food supply (r = 0.65, R² = 0.43, p &lt; 0.05). While counterintuitive at first glance, this reflects the fact that both metrics trended upward simultaneously during the study period: food production increased in aggregate while income inequality also grew. The positive correlation therefore does not indicate that inequality improves nutrition; it captures a co-temporal trend where rising national food output and rising distributional inequality occurred in parallel. </w:t>
      </w:r>
      <w:r>
        <w:rPr>
          <w:rFonts w:ascii="Times New Roman" w:eastAsia="Times New Roman" w:hAnsi="Times New Roman" w:cs="Times New Roman"/>
          <w:color w:val="000000"/>
          <w:sz w:val="20"/>
          <w:szCs w:val="20"/>
        </w:rPr>
        <w:t>The R² of 0.43 indicates that Gini index explains approximately 43 percent of variance in national food supply, suggesting other structural variables (e.g., agricultural output, import policy, population growth) account for the remainder.</w:t>
      </w:r>
    </w:p>
    <w:p w14:paraId="6BB142EC" w14:textId="77777777" w:rsidR="00146319" w:rsidRDefault="00146319" w:rsidP="00146319">
      <w:pPr>
        <w:spacing w:before="120" w:after="60"/>
      </w:pPr>
      <w:r>
        <w:rPr>
          <w:rFonts w:ascii="Times New Roman" w:eastAsia="Times New Roman" w:hAnsi="Times New Roman" w:cs="Times New Roman"/>
          <w:b/>
          <w:bCs/>
          <w:color w:val="000000"/>
          <w:sz w:val="20"/>
          <w:szCs w:val="20"/>
        </w:rPr>
        <w:t>Downstream Implications</w:t>
      </w:r>
    </w:p>
    <w:p w14:paraId="0A61474E"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The finding that growing food supply coincides with growing inequality motivates disaggregated analysis: aggregate supply figures conceal distributional inequities. Any predictive model should incorporate both supply-side and inequality variables rather than treating aggregate food availability as a sufficient proxy for household nutrition.</w:t>
      </w:r>
    </w:p>
    <w:p w14:paraId="50F940A5" w14:textId="77777777" w:rsidR="00146319" w:rsidRDefault="00146319" w:rsidP="00146319">
      <w:pPr>
        <w:spacing w:after="60"/>
      </w:pPr>
    </w:p>
    <w:p w14:paraId="0531D475" w14:textId="77777777" w:rsidR="00146319" w:rsidRDefault="00146319" w:rsidP="00146319">
      <w:pPr>
        <w:pStyle w:val="Heading2"/>
      </w:pPr>
      <w:r>
        <w:rPr>
          <w:rFonts w:eastAsia="Times New Roman"/>
          <w:b/>
          <w:bCs/>
          <w:color w:val="000000"/>
        </w:rPr>
        <w:t>E. EDA 5 — Food Price Volatility by Item (RQ4, RQ2)</w:t>
      </w:r>
    </w:p>
    <w:p w14:paraId="63B0502A" w14:textId="77777777" w:rsidR="00146319" w:rsidRDefault="00146319" w:rsidP="00146319">
      <w:pPr>
        <w:spacing w:before="120" w:after="60"/>
      </w:pPr>
      <w:r>
        <w:rPr>
          <w:rFonts w:ascii="Times New Roman" w:eastAsia="Times New Roman" w:hAnsi="Times New Roman" w:cs="Times New Roman"/>
          <w:b/>
          <w:bCs/>
          <w:color w:val="000000"/>
          <w:sz w:val="20"/>
          <w:szCs w:val="20"/>
        </w:rPr>
        <w:t>Methodology</w:t>
      </w:r>
    </w:p>
    <w:p w14:paraId="7E0035EB" w14:textId="1A48465C"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 xml:space="preserve">Price volatility was quantified using the Coefficient of Variation (CV = standard deviation / mean × 100), computed within each city over time and then averaged across cities. This two-stage calculation prevents inter-city price level differences from being conflated with genuine temporal price instability. Items were </w:t>
      </w:r>
      <w:r w:rsidR="009866F3">
        <w:rPr>
          <w:rFonts w:ascii="Times New Roman" w:eastAsia="Times New Roman" w:hAnsi="Times New Roman" w:cs="Times New Roman"/>
          <w:color w:val="000000"/>
          <w:sz w:val="20"/>
          <w:szCs w:val="20"/>
        </w:rPr>
        <w:t>categorized</w:t>
      </w:r>
      <w:r>
        <w:rPr>
          <w:rFonts w:ascii="Times New Roman" w:eastAsia="Times New Roman" w:hAnsi="Times New Roman" w:cs="Times New Roman"/>
          <w:color w:val="000000"/>
          <w:sz w:val="20"/>
          <w:szCs w:val="20"/>
        </w:rPr>
        <w:t xml:space="preserve"> as low volatility (CV &lt; 10%), medium volatility (10–20%), or high volatility (&gt; 20%) and displayed in a colour-coded horizontal bar chart. Non-food commodities (electricity, fuel, clothing, soap) were excluded before computation.</w:t>
      </w:r>
    </w:p>
    <w:p w14:paraId="69217054" w14:textId="77777777" w:rsidR="00146319" w:rsidRDefault="00146319" w:rsidP="00146319">
      <w:pPr>
        <w:spacing w:before="120" w:after="60"/>
      </w:pPr>
      <w:r>
        <w:rPr>
          <w:rFonts w:ascii="Times New Roman" w:eastAsia="Times New Roman" w:hAnsi="Times New Roman" w:cs="Times New Roman"/>
          <w:b/>
          <w:bCs/>
          <w:color w:val="000000"/>
          <w:sz w:val="20"/>
          <w:szCs w:val="20"/>
        </w:rPr>
        <w:t>Findings</w:t>
      </w:r>
    </w:p>
    <w:p w14:paraId="42DF3F60"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No food item achieved low volatility (CV below 10%), indicating that all tracked commodities in Pakistan experience meaningful price fluctuation. The most stable items were Curd/Dahi (CV 3.9%), Bread Plain (4.0%), Fresh Milk (4.7%), and Salt (4.7%), all of which remain within the medium-low band. The most volatile items were Onions (45.1%), Vegetable Ghee (44.4%), Tomatoes (38.0%), and Bananas (22.1%). Of particular concern, Wheat Flour Bag registered a CV of 21.9 percent. As Pakistan’s most consumed staple, wheat flour ideally should be highly price-stable; its elevated volatility reflects a combination of subsidy policy variability, import constraints, and harvest fluctuations during the study period.</w:t>
      </w:r>
    </w:p>
    <w:p w14:paraId="098F1F31" w14:textId="77777777" w:rsidR="00146319" w:rsidRDefault="00146319" w:rsidP="00146319">
      <w:pPr>
        <w:spacing w:before="120" w:after="60"/>
      </w:pPr>
      <w:r>
        <w:rPr>
          <w:rFonts w:ascii="Times New Roman" w:eastAsia="Times New Roman" w:hAnsi="Times New Roman" w:cs="Times New Roman"/>
          <w:b/>
          <w:bCs/>
          <w:color w:val="000000"/>
          <w:sz w:val="20"/>
          <w:szCs w:val="20"/>
        </w:rPr>
        <w:t>Downstream Implications</w:t>
      </w:r>
    </w:p>
    <w:p w14:paraId="52AC620F"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 xml:space="preserve">The concentration of high volatility in fresh produce and vegetables, which are primary micronutrient </w:t>
      </w:r>
      <w:r>
        <w:rPr>
          <w:rFonts w:ascii="Times New Roman" w:eastAsia="Times New Roman" w:hAnsi="Times New Roman" w:cs="Times New Roman"/>
          <w:color w:val="000000"/>
          <w:sz w:val="20"/>
          <w:szCs w:val="20"/>
        </w:rPr>
        <w:lastRenderedPageBreak/>
        <w:t xml:space="preserve">sources, suggests that poor families face incentives to avoid these foods in </w:t>
      </w:r>
      <w:proofErr w:type="spellStart"/>
      <w:r>
        <w:rPr>
          <w:rFonts w:ascii="Times New Roman" w:eastAsia="Times New Roman" w:hAnsi="Times New Roman" w:cs="Times New Roman"/>
          <w:color w:val="000000"/>
          <w:sz w:val="20"/>
          <w:szCs w:val="20"/>
        </w:rPr>
        <w:t>favour</w:t>
      </w:r>
      <w:proofErr w:type="spellEnd"/>
      <w:r>
        <w:rPr>
          <w:rFonts w:ascii="Times New Roman" w:eastAsia="Times New Roman" w:hAnsi="Times New Roman" w:cs="Times New Roman"/>
          <w:color w:val="000000"/>
          <w:sz w:val="20"/>
          <w:szCs w:val="20"/>
        </w:rPr>
        <w:t xml:space="preserve"> of cheaper, more predictable staples. This nutritional substitution effect should be modelled explicitly in Phase 3.</w:t>
      </w:r>
    </w:p>
    <w:p w14:paraId="3A3AA953" w14:textId="77777777" w:rsidR="00146319" w:rsidRDefault="00146319" w:rsidP="00146319">
      <w:pPr>
        <w:spacing w:after="60"/>
      </w:pPr>
    </w:p>
    <w:p w14:paraId="777EA0C0" w14:textId="77777777" w:rsidR="00146319" w:rsidRDefault="00146319" w:rsidP="00146319">
      <w:pPr>
        <w:pStyle w:val="Heading2"/>
      </w:pPr>
      <w:r>
        <w:rPr>
          <w:rFonts w:eastAsia="Times New Roman"/>
          <w:b/>
          <w:bCs/>
          <w:color w:val="000000"/>
        </w:rPr>
        <w:t>F. EDA 6 — Food Price Trends Over Time (RQ2)</w:t>
      </w:r>
    </w:p>
    <w:p w14:paraId="4FE9F084" w14:textId="77777777" w:rsidR="00146319" w:rsidRDefault="00146319" w:rsidP="00146319">
      <w:pPr>
        <w:spacing w:before="120" w:after="60"/>
      </w:pPr>
      <w:r>
        <w:rPr>
          <w:rFonts w:ascii="Times New Roman" w:eastAsia="Times New Roman" w:hAnsi="Times New Roman" w:cs="Times New Roman"/>
          <w:b/>
          <w:bCs/>
          <w:color w:val="000000"/>
          <w:sz w:val="20"/>
          <w:szCs w:val="20"/>
        </w:rPr>
        <w:t>Methodology</w:t>
      </w:r>
    </w:p>
    <w:p w14:paraId="5CBCE113"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Monthly average prices for five essential food items—Wheat Flour Bag, Fresh Milk, Farm Eggs, Cooking Oil, and Tomatoes—were computed by aggregating across all cities. The resulting time series were rendered as a multi-line chart spanning August 2023 to August 2025, with each item in a distinct colour to facilitate visual comparison.</w:t>
      </w:r>
    </w:p>
    <w:p w14:paraId="55139009" w14:textId="77777777" w:rsidR="00146319" w:rsidRDefault="00146319" w:rsidP="00146319">
      <w:pPr>
        <w:spacing w:before="120" w:after="60"/>
      </w:pPr>
      <w:r>
        <w:rPr>
          <w:rFonts w:ascii="Times New Roman" w:eastAsia="Times New Roman" w:hAnsi="Times New Roman" w:cs="Times New Roman"/>
          <w:b/>
          <w:bCs/>
          <w:color w:val="000000"/>
          <w:sz w:val="20"/>
          <w:szCs w:val="20"/>
        </w:rPr>
        <w:t>Findings</w:t>
      </w:r>
    </w:p>
    <w:p w14:paraId="6A8985F4"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Cooking Oil was the most expensive item throughout the period and displayed a gradual upward trend from approximately PKR 2,700 to PKR 2,850. Wheat Flour Bag exhibited the most dramatic trajectory: prices peaked near PKR 2,500 in late 2023 and declined sharply to approximately PKR 1,500 by mid-2025, consistent with the government’s wheat price intervention and improved harvest in 2024. Fresh Milk remained the most stable item, holding consistently between PKR 200 and PKR 250. Farm Eggs showed moderate seasonal cycling, rising in winter months and declining in summer. Tomatoes displayed the most volatile pattern, with sharp spikes visible at multiple points in the series, corroborating the 38 percent CV finding from EDA 5.</w:t>
      </w:r>
    </w:p>
    <w:p w14:paraId="38E4D5EE" w14:textId="77777777" w:rsidR="00146319" w:rsidRDefault="00146319" w:rsidP="00146319">
      <w:pPr>
        <w:spacing w:before="120" w:after="60"/>
      </w:pPr>
      <w:r>
        <w:rPr>
          <w:rFonts w:ascii="Times New Roman" w:eastAsia="Times New Roman" w:hAnsi="Times New Roman" w:cs="Times New Roman"/>
          <w:b/>
          <w:bCs/>
          <w:color w:val="000000"/>
          <w:sz w:val="20"/>
          <w:szCs w:val="20"/>
        </w:rPr>
        <w:t>Downstream Implications</w:t>
      </w:r>
    </w:p>
    <w:p w14:paraId="3DEFE1B4"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The Wheat Flour price decline after mid-2024 represents a policy intervention effect that must be treated as a structural break in any time-series model. Models fitted on data before and after this break will require separate treatment or the explicit inclusion of a policy dummy variable.</w:t>
      </w:r>
    </w:p>
    <w:p w14:paraId="36B292DA" w14:textId="77777777" w:rsidR="00146319" w:rsidRDefault="00146319" w:rsidP="00146319">
      <w:pPr>
        <w:spacing w:after="60"/>
      </w:pPr>
    </w:p>
    <w:p w14:paraId="7BB89493" w14:textId="77777777" w:rsidR="00146319" w:rsidRDefault="00146319" w:rsidP="00146319">
      <w:pPr>
        <w:pStyle w:val="Heading2"/>
      </w:pPr>
      <w:r>
        <w:rPr>
          <w:rFonts w:eastAsia="Times New Roman"/>
          <w:b/>
          <w:bCs/>
          <w:color w:val="000000"/>
        </w:rPr>
        <w:t>G. EDA 7 — Wheat Flour Price Heatmap by City and Month (RQ4)</w:t>
      </w:r>
    </w:p>
    <w:p w14:paraId="7328D45E" w14:textId="77777777" w:rsidR="00146319" w:rsidRDefault="00146319" w:rsidP="00146319">
      <w:pPr>
        <w:spacing w:before="120" w:after="60"/>
      </w:pPr>
      <w:r>
        <w:rPr>
          <w:rFonts w:ascii="Times New Roman" w:eastAsia="Times New Roman" w:hAnsi="Times New Roman" w:cs="Times New Roman"/>
          <w:b/>
          <w:bCs/>
          <w:color w:val="000000"/>
          <w:sz w:val="20"/>
          <w:szCs w:val="20"/>
        </w:rPr>
        <w:t>Methodology</w:t>
      </w:r>
    </w:p>
    <w:p w14:paraId="00681BDB"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 xml:space="preserve">Wheat Flour Bag prices were aggregated by city and calendar month, producing a matrix of mean prices. This matrix was rendered as a seaborn heatmap with cities on the vertical axis, months on the horizontal axis, and a </w:t>
      </w:r>
      <w:proofErr w:type="spellStart"/>
      <w:r>
        <w:rPr>
          <w:rFonts w:ascii="Times New Roman" w:eastAsia="Times New Roman" w:hAnsi="Times New Roman" w:cs="Times New Roman"/>
          <w:color w:val="000000"/>
          <w:sz w:val="20"/>
          <w:szCs w:val="20"/>
        </w:rPr>
        <w:t>YlOrRd</w:t>
      </w:r>
      <w:proofErr w:type="spellEnd"/>
      <w:r>
        <w:rPr>
          <w:rFonts w:ascii="Times New Roman" w:eastAsia="Times New Roman" w:hAnsi="Times New Roman" w:cs="Times New Roman"/>
          <w:color w:val="000000"/>
          <w:sz w:val="20"/>
          <w:szCs w:val="20"/>
        </w:rPr>
        <w:t xml:space="preserve"> colour scale (yellow for low prices, dark red for high prices). Cities were sorted </w:t>
      </w:r>
      <w:r>
        <w:rPr>
          <w:rFonts w:ascii="Times New Roman" w:eastAsia="Times New Roman" w:hAnsi="Times New Roman" w:cs="Times New Roman"/>
          <w:color w:val="000000"/>
          <w:sz w:val="20"/>
          <w:szCs w:val="20"/>
        </w:rPr>
        <w:t>by their overall mean price in descending order. Quetta was excluded from this analysis after inspection of its raw records revealed a fixed Avg_Price of PKR 111.3 across all observations, indicating unreliable data recording for that city.</w:t>
      </w:r>
    </w:p>
    <w:p w14:paraId="35013DDB" w14:textId="77777777" w:rsidR="00146319" w:rsidRDefault="00146319" w:rsidP="00146319">
      <w:pPr>
        <w:spacing w:before="120" w:after="60"/>
      </w:pPr>
      <w:r>
        <w:rPr>
          <w:rFonts w:ascii="Times New Roman" w:eastAsia="Times New Roman" w:hAnsi="Times New Roman" w:cs="Times New Roman"/>
          <w:b/>
          <w:bCs/>
          <w:color w:val="000000"/>
          <w:sz w:val="20"/>
          <w:szCs w:val="20"/>
        </w:rPr>
        <w:t>Findings</w:t>
      </w:r>
    </w:p>
    <w:p w14:paraId="0BAED53A" w14:textId="77777777" w:rsidR="00146319" w:rsidRDefault="00146319" w:rsidP="00146319">
      <w:pPr>
        <w:spacing w:before="60" w:after="60" w:line="276" w:lineRule="auto"/>
        <w:jc w:val="both"/>
      </w:pPr>
      <w:r>
        <w:rPr>
          <w:rFonts w:ascii="Times New Roman" w:eastAsia="Times New Roman" w:hAnsi="Times New Roman" w:cs="Times New Roman"/>
          <w:color w:val="000000"/>
          <w:sz w:val="20"/>
          <w:szCs w:val="20"/>
        </w:rPr>
        <w:t xml:space="preserve">Bahawalpur, Sukkur, and Hyderabad consistently appeared in the darkest rows, paying PKR 2,500 to PKR 3,071 in August 2023. </w:t>
      </w:r>
      <w:proofErr w:type="spellStart"/>
      <w:r>
        <w:rPr>
          <w:rFonts w:ascii="Times New Roman" w:eastAsia="Times New Roman" w:hAnsi="Times New Roman" w:cs="Times New Roman"/>
          <w:color w:val="000000"/>
          <w:sz w:val="20"/>
          <w:szCs w:val="20"/>
        </w:rPr>
        <w:t>Bannu</w:t>
      </w:r>
      <w:proofErr w:type="spellEnd"/>
      <w:r>
        <w:rPr>
          <w:rFonts w:ascii="Times New Roman" w:eastAsia="Times New Roman" w:hAnsi="Times New Roman" w:cs="Times New Roman"/>
          <w:color w:val="000000"/>
          <w:sz w:val="20"/>
          <w:szCs w:val="20"/>
        </w:rPr>
        <w:t xml:space="preserve"> was consistently the cheapest city, with prices around PKR 1,173 in August 2023 before a gradual rise to PKR 1,742. A clear horizontal banding effect is visible across the chart: all cities transitioned from darker shades in late 2023 to lighter shades by mid-to-late 2024, confirming that the wheat price decline was a nationwide phenomenon rather than a city-specific anomaly. The magnitude of the price gap between the most and least expensive cities (approximately 2.6× at peak) reveals significant geographic price segmentation that national-average statistics would mask entirely.</w:t>
      </w:r>
    </w:p>
    <w:p w14:paraId="4D36CBB1" w14:textId="77777777" w:rsidR="00146319" w:rsidRDefault="00146319" w:rsidP="00146319">
      <w:pPr>
        <w:spacing w:before="120" w:after="60"/>
      </w:pPr>
      <w:r>
        <w:rPr>
          <w:rFonts w:ascii="Times New Roman" w:eastAsia="Times New Roman" w:hAnsi="Times New Roman" w:cs="Times New Roman"/>
          <w:b/>
          <w:bCs/>
          <w:color w:val="000000"/>
          <w:sz w:val="20"/>
          <w:szCs w:val="20"/>
        </w:rPr>
        <w:t>Downstream Implications</w:t>
      </w:r>
    </w:p>
    <w:p w14:paraId="44F6015C" w14:textId="77777777" w:rsidR="00EC6A3B" w:rsidRDefault="00146319" w:rsidP="000561CD">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The geographic price segmentation in wheat flour suggests that city-level fixed effects should be </w:t>
      </w:r>
    </w:p>
    <w:p w14:paraId="7AD0F541" w14:textId="0D5411F5" w:rsidR="00A07D68" w:rsidRDefault="00146319" w:rsidP="00B87557">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included in any predictive model of food basket cost. Using national averages without city indicators would systematically under-predict prices in Sindh cities and over-predict in KPK cities.</w:t>
      </w:r>
    </w:p>
    <w:p w14:paraId="17DA472F" w14:textId="77777777" w:rsidR="008961ED" w:rsidRDefault="008961ED" w:rsidP="008961ED">
      <w:pPr>
        <w:spacing w:after="60"/>
      </w:pPr>
    </w:p>
    <w:p w14:paraId="2BE9A546" w14:textId="77777777" w:rsidR="008961ED" w:rsidRDefault="008961ED" w:rsidP="008961ED">
      <w:pPr>
        <w:spacing w:before="80" w:after="80"/>
        <w:jc w:val="center"/>
      </w:pPr>
      <w:r>
        <w:rPr>
          <w:rFonts w:ascii="Times New Roman" w:eastAsia="Times New Roman" w:hAnsi="Times New Roman" w:cs="Times New Roman"/>
          <w:b/>
          <w:bCs/>
          <w:sz w:val="18"/>
          <w:szCs w:val="18"/>
        </w:rPr>
        <w:t>TABLE III   Summary of Seven EDA Operations</w:t>
      </w:r>
    </w:p>
    <w:tbl>
      <w:tblPr>
        <w:tblStyle w:val="GridTable4-Accent5"/>
        <w:tblW w:w="4106" w:type="dxa"/>
        <w:tblLook w:val="04A0" w:firstRow="1" w:lastRow="0" w:firstColumn="1" w:lastColumn="0" w:noHBand="0" w:noVBand="1"/>
      </w:tblPr>
      <w:tblGrid>
        <w:gridCol w:w="569"/>
        <w:gridCol w:w="964"/>
        <w:gridCol w:w="819"/>
        <w:gridCol w:w="858"/>
        <w:gridCol w:w="933"/>
      </w:tblGrid>
      <w:tr w:rsidR="00024AB9" w14:paraId="716DEADD" w14:textId="77777777" w:rsidTr="00DA2F8A">
        <w:trPr>
          <w:cnfStyle w:val="100000000000" w:firstRow="1" w:lastRow="0" w:firstColumn="0" w:lastColumn="0" w:oddVBand="0" w:evenVBand="0" w:oddHBand="0"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639" w:type="dxa"/>
          </w:tcPr>
          <w:p w14:paraId="486354AB" w14:textId="18AD31C2" w:rsidR="00024AB9" w:rsidRDefault="00024AB9" w:rsidP="00B87557">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EDA</w:t>
            </w:r>
          </w:p>
        </w:tc>
        <w:tc>
          <w:tcPr>
            <w:tcW w:w="1113" w:type="dxa"/>
          </w:tcPr>
          <w:p w14:paraId="25B4077A" w14:textId="4021CCD3" w:rsidR="00024AB9" w:rsidRDefault="00024AB9" w:rsidP="00B87557">
            <w:pPr>
              <w:spacing w:before="60" w:after="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Analysis</w:t>
            </w:r>
          </w:p>
        </w:tc>
        <w:tc>
          <w:tcPr>
            <w:tcW w:w="939" w:type="dxa"/>
          </w:tcPr>
          <w:p w14:paraId="068FA79E" w14:textId="4FC584F3" w:rsidR="00024AB9" w:rsidRDefault="00024AB9" w:rsidP="00B87557">
            <w:pPr>
              <w:spacing w:before="60" w:after="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Datasets</w:t>
            </w:r>
          </w:p>
        </w:tc>
        <w:tc>
          <w:tcPr>
            <w:tcW w:w="986" w:type="dxa"/>
          </w:tcPr>
          <w:p w14:paraId="501E1923" w14:textId="460FDE70" w:rsidR="00024AB9" w:rsidRDefault="00024AB9" w:rsidP="00B87557">
            <w:pPr>
              <w:spacing w:before="60" w:after="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Chart Type</w:t>
            </w:r>
          </w:p>
        </w:tc>
        <w:tc>
          <w:tcPr>
            <w:tcW w:w="429" w:type="dxa"/>
          </w:tcPr>
          <w:p w14:paraId="2DB72B28" w14:textId="1A02FE45" w:rsidR="00024AB9" w:rsidRDefault="00024AB9" w:rsidP="00B87557">
            <w:pPr>
              <w:spacing w:before="60" w:after="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Key Metric</w:t>
            </w:r>
          </w:p>
        </w:tc>
      </w:tr>
      <w:tr w:rsidR="00F42F79" w14:paraId="05BC53CD" w14:textId="77777777" w:rsidTr="00DA2F8A">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639" w:type="dxa"/>
          </w:tcPr>
          <w:p w14:paraId="20D808E3" w14:textId="6278FEC7" w:rsidR="00F42F79" w:rsidRDefault="00F42F79" w:rsidP="00F42F79">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w:t>
            </w:r>
          </w:p>
        </w:tc>
        <w:tc>
          <w:tcPr>
            <w:tcW w:w="1113" w:type="dxa"/>
          </w:tcPr>
          <w:p w14:paraId="1AD9B5D2" w14:textId="5AD25C9A" w:rsidR="00F42F79" w:rsidRDefault="00F42F79" w:rsidP="00F42F79">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Food price inflation per item</w:t>
            </w:r>
          </w:p>
        </w:tc>
        <w:tc>
          <w:tcPr>
            <w:tcW w:w="939" w:type="dxa"/>
          </w:tcPr>
          <w:p w14:paraId="2D210C76" w14:textId="085639F1" w:rsidR="00F42F79" w:rsidRDefault="00F42F79" w:rsidP="00F42F79">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SPI (cleaned)</w:t>
            </w:r>
          </w:p>
        </w:tc>
        <w:tc>
          <w:tcPr>
            <w:tcW w:w="986" w:type="dxa"/>
          </w:tcPr>
          <w:p w14:paraId="67E7D62B" w14:textId="27CACB03" w:rsidR="00F42F79" w:rsidRDefault="00F42F79" w:rsidP="00F42F79">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Horizontal bar</w:t>
            </w:r>
          </w:p>
        </w:tc>
        <w:tc>
          <w:tcPr>
            <w:tcW w:w="429" w:type="dxa"/>
          </w:tcPr>
          <w:p w14:paraId="44101E84" w14:textId="296E9C59" w:rsidR="00F42F79" w:rsidRDefault="00F42F79" w:rsidP="00F42F79">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 price change per item</w:t>
            </w:r>
          </w:p>
        </w:tc>
      </w:tr>
      <w:tr w:rsidR="00671194" w14:paraId="126674E3" w14:textId="77777777" w:rsidTr="00DA2F8A">
        <w:trPr>
          <w:trHeight w:val="605"/>
        </w:trPr>
        <w:tc>
          <w:tcPr>
            <w:cnfStyle w:val="001000000000" w:firstRow="0" w:lastRow="0" w:firstColumn="1" w:lastColumn="0" w:oddVBand="0" w:evenVBand="0" w:oddHBand="0" w:evenHBand="0" w:firstRowFirstColumn="0" w:firstRowLastColumn="0" w:lastRowFirstColumn="0" w:lastRowLastColumn="0"/>
            <w:tcW w:w="639" w:type="dxa"/>
          </w:tcPr>
          <w:p w14:paraId="24E7A3E2" w14:textId="56D2F906" w:rsidR="00671194" w:rsidRDefault="00671194" w:rsidP="00671194">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w:t>
            </w:r>
          </w:p>
        </w:tc>
        <w:tc>
          <w:tcPr>
            <w:tcW w:w="1113" w:type="dxa"/>
          </w:tcPr>
          <w:p w14:paraId="6586E8B8" w14:textId="5991518C" w:rsidR="00671194" w:rsidRDefault="00671194" w:rsidP="00671194">
            <w:pPr>
              <w:spacing w:before="60" w:after="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Poverty rate</w:t>
            </w:r>
            <w:r>
              <w:rPr>
                <w:rFonts w:ascii="Times New Roman" w:eastAsia="Times New Roman" w:hAnsi="Times New Roman" w:cs="Times New Roman"/>
                <w:sz w:val="18"/>
                <w:szCs w:val="18"/>
              </w:rPr>
              <w:t xml:space="preserve"> </w:t>
            </w:r>
            <w:r>
              <w:rPr>
                <w:rFonts w:ascii="Times New Roman" w:eastAsia="Times New Roman" w:hAnsi="Times New Roman" w:cs="Times New Roman"/>
                <w:sz w:val="18"/>
                <w:szCs w:val="18"/>
              </w:rPr>
              <w:t>vs. food supply</w:t>
            </w:r>
          </w:p>
        </w:tc>
        <w:tc>
          <w:tcPr>
            <w:tcW w:w="939" w:type="dxa"/>
          </w:tcPr>
          <w:p w14:paraId="039ACFF6" w14:textId="58E466CD" w:rsidR="00671194" w:rsidRDefault="00671194" w:rsidP="00671194">
            <w:pPr>
              <w:spacing w:before="60" w:after="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World Bank + FAO</w:t>
            </w:r>
          </w:p>
        </w:tc>
        <w:tc>
          <w:tcPr>
            <w:tcW w:w="986" w:type="dxa"/>
          </w:tcPr>
          <w:p w14:paraId="6528C02B" w14:textId="7965929A" w:rsidR="00671194" w:rsidRDefault="00671194" w:rsidP="00671194">
            <w:pPr>
              <w:spacing w:before="60" w:after="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Dual-axis line</w:t>
            </w:r>
          </w:p>
        </w:tc>
        <w:tc>
          <w:tcPr>
            <w:tcW w:w="429" w:type="dxa"/>
          </w:tcPr>
          <w:p w14:paraId="67612D7A" w14:textId="298ED6CC" w:rsidR="00671194" w:rsidRDefault="00671194" w:rsidP="00671194">
            <w:pPr>
              <w:spacing w:before="60" w:after="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Headcount % vs kg/capita/yr</w:t>
            </w:r>
          </w:p>
        </w:tc>
      </w:tr>
      <w:tr w:rsidR="005A7E22" w14:paraId="424E74A6" w14:textId="77777777" w:rsidTr="00DA2F8A">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639" w:type="dxa"/>
          </w:tcPr>
          <w:p w14:paraId="7F9EE0F5" w14:textId="76A8481F" w:rsidR="005A7E22" w:rsidRDefault="005A7E22" w:rsidP="005A7E22">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w:t>
            </w:r>
          </w:p>
        </w:tc>
        <w:tc>
          <w:tcPr>
            <w:tcW w:w="1113" w:type="dxa"/>
          </w:tcPr>
          <w:p w14:paraId="0D291590" w14:textId="52CAD372" w:rsidR="005A7E22" w:rsidRDefault="005A7E22" w:rsidP="005A7E22">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City basket affordability</w:t>
            </w:r>
          </w:p>
        </w:tc>
        <w:tc>
          <w:tcPr>
            <w:tcW w:w="939" w:type="dxa"/>
          </w:tcPr>
          <w:p w14:paraId="7C2CE0D8" w14:textId="4A455D78" w:rsidR="005A7E22" w:rsidRDefault="005A7E22" w:rsidP="005A7E22">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SPI + PBS wages</w:t>
            </w:r>
          </w:p>
        </w:tc>
        <w:tc>
          <w:tcPr>
            <w:tcW w:w="986" w:type="dxa"/>
          </w:tcPr>
          <w:p w14:paraId="60BAACC3" w14:textId="1642EA95" w:rsidR="005A7E22" w:rsidRDefault="005A7E22" w:rsidP="005A7E22">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Two-panel horizontal bar</w:t>
            </w:r>
          </w:p>
        </w:tc>
        <w:tc>
          <w:tcPr>
            <w:tcW w:w="429" w:type="dxa"/>
          </w:tcPr>
          <w:p w14:paraId="74829D10" w14:textId="5DDDACEE" w:rsidR="005A7E22" w:rsidRDefault="005A7E22" w:rsidP="005A7E22">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PKR basket cost; % of wage</w:t>
            </w:r>
          </w:p>
        </w:tc>
      </w:tr>
      <w:tr w:rsidR="00E70D14" w14:paraId="738804C2" w14:textId="77777777" w:rsidTr="00DA2F8A">
        <w:trPr>
          <w:trHeight w:val="605"/>
        </w:trPr>
        <w:tc>
          <w:tcPr>
            <w:cnfStyle w:val="001000000000" w:firstRow="0" w:lastRow="0" w:firstColumn="1" w:lastColumn="0" w:oddVBand="0" w:evenVBand="0" w:oddHBand="0" w:evenHBand="0" w:firstRowFirstColumn="0" w:firstRowLastColumn="0" w:lastRowFirstColumn="0" w:lastRowLastColumn="0"/>
            <w:tcW w:w="639" w:type="dxa"/>
          </w:tcPr>
          <w:p w14:paraId="56DDDBAC" w14:textId="30E3D183" w:rsidR="00E70D14" w:rsidRDefault="00E70D14" w:rsidP="00E70D14">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4</w:t>
            </w:r>
          </w:p>
        </w:tc>
        <w:tc>
          <w:tcPr>
            <w:tcW w:w="1113" w:type="dxa"/>
          </w:tcPr>
          <w:p w14:paraId="18412762" w14:textId="73938481" w:rsidR="00E70D14" w:rsidRDefault="00E70D14" w:rsidP="00E70D14">
            <w:pPr>
              <w:spacing w:before="60" w:after="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Inequality vs. food supply</w:t>
            </w:r>
          </w:p>
        </w:tc>
        <w:tc>
          <w:tcPr>
            <w:tcW w:w="939" w:type="dxa"/>
          </w:tcPr>
          <w:p w14:paraId="1690A289" w14:textId="4E2E2056" w:rsidR="00E70D14" w:rsidRDefault="00E70D14" w:rsidP="00E70D14">
            <w:pPr>
              <w:spacing w:before="60" w:after="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World Bank + FAO</w:t>
            </w:r>
          </w:p>
        </w:tc>
        <w:tc>
          <w:tcPr>
            <w:tcW w:w="986" w:type="dxa"/>
          </w:tcPr>
          <w:p w14:paraId="45B823A2" w14:textId="1CFD4FA7" w:rsidR="00E70D14" w:rsidRDefault="00E70D14" w:rsidP="00E70D14">
            <w:pPr>
              <w:spacing w:before="60" w:after="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Scatter + regression</w:t>
            </w:r>
          </w:p>
        </w:tc>
        <w:tc>
          <w:tcPr>
            <w:tcW w:w="429" w:type="dxa"/>
          </w:tcPr>
          <w:p w14:paraId="443BCABA" w14:textId="28E65B0D" w:rsidR="00E70D14" w:rsidRDefault="00E70D14" w:rsidP="00E70D14">
            <w:pPr>
              <w:spacing w:before="60" w:after="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r = 0.65, R² = 0.43</w:t>
            </w:r>
          </w:p>
        </w:tc>
      </w:tr>
      <w:tr w:rsidR="008F06DA" w14:paraId="069FD2C4" w14:textId="77777777" w:rsidTr="00DA2F8A">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639" w:type="dxa"/>
          </w:tcPr>
          <w:p w14:paraId="442B86FB" w14:textId="2EE958FF" w:rsidR="008F06DA" w:rsidRDefault="008F06DA" w:rsidP="008F06DA">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5</w:t>
            </w:r>
          </w:p>
        </w:tc>
        <w:tc>
          <w:tcPr>
            <w:tcW w:w="1113" w:type="dxa"/>
          </w:tcPr>
          <w:p w14:paraId="54E61270" w14:textId="005C3948" w:rsidR="008F06DA" w:rsidRDefault="008F06DA" w:rsidP="008F06DA">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Price volatility by item</w:t>
            </w:r>
          </w:p>
        </w:tc>
        <w:tc>
          <w:tcPr>
            <w:tcW w:w="939" w:type="dxa"/>
          </w:tcPr>
          <w:p w14:paraId="195E48ED" w14:textId="5540318E" w:rsidR="008F06DA" w:rsidRDefault="008F06DA" w:rsidP="008F06DA">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SPI (cleaned)</w:t>
            </w:r>
          </w:p>
        </w:tc>
        <w:tc>
          <w:tcPr>
            <w:tcW w:w="986" w:type="dxa"/>
          </w:tcPr>
          <w:p w14:paraId="512077B3" w14:textId="0F2818F8" w:rsidR="008F06DA" w:rsidRDefault="008F06DA" w:rsidP="008F06DA">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Colour-coded horizontal bar</w:t>
            </w:r>
          </w:p>
        </w:tc>
        <w:tc>
          <w:tcPr>
            <w:tcW w:w="429" w:type="dxa"/>
          </w:tcPr>
          <w:p w14:paraId="659CF26E" w14:textId="33741B94" w:rsidR="008F06DA" w:rsidRDefault="008F06DA" w:rsidP="008F06DA">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Coefficient of Variation (%)</w:t>
            </w:r>
          </w:p>
        </w:tc>
      </w:tr>
      <w:tr w:rsidR="00760760" w14:paraId="5777E388" w14:textId="77777777" w:rsidTr="00DA2F8A">
        <w:trPr>
          <w:trHeight w:val="605"/>
        </w:trPr>
        <w:tc>
          <w:tcPr>
            <w:cnfStyle w:val="001000000000" w:firstRow="0" w:lastRow="0" w:firstColumn="1" w:lastColumn="0" w:oddVBand="0" w:evenVBand="0" w:oddHBand="0" w:evenHBand="0" w:firstRowFirstColumn="0" w:firstRowLastColumn="0" w:lastRowFirstColumn="0" w:lastRowLastColumn="0"/>
            <w:tcW w:w="639" w:type="dxa"/>
          </w:tcPr>
          <w:p w14:paraId="7B032181" w14:textId="59013B8C" w:rsidR="00760760" w:rsidRDefault="00760760" w:rsidP="00760760">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6</w:t>
            </w:r>
          </w:p>
        </w:tc>
        <w:tc>
          <w:tcPr>
            <w:tcW w:w="1113" w:type="dxa"/>
          </w:tcPr>
          <w:p w14:paraId="42293E5C" w14:textId="2A5F0B6C" w:rsidR="00760760" w:rsidRDefault="00760760" w:rsidP="00760760">
            <w:pPr>
              <w:spacing w:before="60" w:after="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Food price trends over time</w:t>
            </w:r>
          </w:p>
        </w:tc>
        <w:tc>
          <w:tcPr>
            <w:tcW w:w="939" w:type="dxa"/>
          </w:tcPr>
          <w:p w14:paraId="434A29DC" w14:textId="7604DC78" w:rsidR="00760760" w:rsidRDefault="00760760" w:rsidP="00760760">
            <w:pPr>
              <w:spacing w:before="60" w:after="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SPI (cleaned)</w:t>
            </w:r>
          </w:p>
        </w:tc>
        <w:tc>
          <w:tcPr>
            <w:tcW w:w="986" w:type="dxa"/>
          </w:tcPr>
          <w:p w14:paraId="0F34BFFB" w14:textId="65EC9B6C" w:rsidR="00760760" w:rsidRDefault="00760760" w:rsidP="00760760">
            <w:pPr>
              <w:spacing w:before="60" w:after="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Multi-line chart</w:t>
            </w:r>
          </w:p>
        </w:tc>
        <w:tc>
          <w:tcPr>
            <w:tcW w:w="429" w:type="dxa"/>
          </w:tcPr>
          <w:p w14:paraId="75B5B89A" w14:textId="3E3B84FC" w:rsidR="00760760" w:rsidRDefault="00760760" w:rsidP="00760760">
            <w:pPr>
              <w:spacing w:before="60" w:after="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Monthly avg PKR per item</w:t>
            </w:r>
          </w:p>
        </w:tc>
      </w:tr>
      <w:tr w:rsidR="00DA2F8A" w14:paraId="11087914" w14:textId="77777777" w:rsidTr="00DA2F8A">
        <w:trPr>
          <w:cnfStyle w:val="000000100000" w:firstRow="0" w:lastRow="0" w:firstColumn="0" w:lastColumn="0" w:oddVBand="0" w:evenVBand="0" w:oddHBand="1" w:evenHBand="0" w:firstRowFirstColumn="0" w:firstRowLastColumn="0" w:lastRowFirstColumn="0" w:lastRowLastColumn="0"/>
          <w:trHeight w:val="605"/>
        </w:trPr>
        <w:tc>
          <w:tcPr>
            <w:cnfStyle w:val="001000000000" w:firstRow="0" w:lastRow="0" w:firstColumn="1" w:lastColumn="0" w:oddVBand="0" w:evenVBand="0" w:oddHBand="0" w:evenHBand="0" w:firstRowFirstColumn="0" w:firstRowLastColumn="0" w:lastRowFirstColumn="0" w:lastRowLastColumn="0"/>
            <w:tcW w:w="639" w:type="dxa"/>
          </w:tcPr>
          <w:p w14:paraId="686617F9" w14:textId="1F5645F3" w:rsidR="00DA2F8A" w:rsidRDefault="00DA2F8A" w:rsidP="00DA2F8A">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7</w:t>
            </w:r>
          </w:p>
        </w:tc>
        <w:tc>
          <w:tcPr>
            <w:tcW w:w="1113" w:type="dxa"/>
          </w:tcPr>
          <w:p w14:paraId="2FB287D8" w14:textId="1AAD01EF" w:rsidR="00DA2F8A" w:rsidRDefault="00DA2F8A" w:rsidP="00DA2F8A">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Wheat flour heatmap (city × month)</w:t>
            </w:r>
          </w:p>
        </w:tc>
        <w:tc>
          <w:tcPr>
            <w:tcW w:w="939" w:type="dxa"/>
          </w:tcPr>
          <w:p w14:paraId="6F1241E2" w14:textId="06EDE99B" w:rsidR="00DA2F8A" w:rsidRDefault="00DA2F8A" w:rsidP="00DA2F8A">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SPI (cleaned)</w:t>
            </w:r>
          </w:p>
        </w:tc>
        <w:tc>
          <w:tcPr>
            <w:tcW w:w="986" w:type="dxa"/>
          </w:tcPr>
          <w:p w14:paraId="2A7661D4" w14:textId="36C3B2F9" w:rsidR="00DA2F8A" w:rsidRDefault="00DA2F8A" w:rsidP="00DA2F8A">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Seaborn heatmap</w:t>
            </w:r>
          </w:p>
        </w:tc>
        <w:tc>
          <w:tcPr>
            <w:tcW w:w="429" w:type="dxa"/>
          </w:tcPr>
          <w:p w14:paraId="1A93DD0E" w14:textId="5365C13F" w:rsidR="00DA2F8A" w:rsidRDefault="00DA2F8A" w:rsidP="00DA2F8A">
            <w:pPr>
              <w:spacing w:before="60" w:after="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sz w:val="18"/>
                <w:szCs w:val="18"/>
              </w:rPr>
              <w:t>Mean price per city-month cell</w:t>
            </w:r>
          </w:p>
        </w:tc>
      </w:tr>
    </w:tbl>
    <w:p w14:paraId="318D43F1" w14:textId="77777777" w:rsidR="00F310BD" w:rsidRDefault="00F310BD" w:rsidP="00B87557">
      <w:pPr>
        <w:spacing w:before="60" w:after="60" w:line="276" w:lineRule="auto"/>
        <w:jc w:val="both"/>
        <w:rPr>
          <w:rFonts w:ascii="Times New Roman" w:eastAsia="Times New Roman" w:hAnsi="Times New Roman" w:cs="Times New Roman"/>
          <w:color w:val="000000"/>
          <w:sz w:val="20"/>
          <w:szCs w:val="20"/>
        </w:rPr>
      </w:pPr>
    </w:p>
    <w:p w14:paraId="5B3D0828" w14:textId="77777777" w:rsidR="007E590A" w:rsidRDefault="007E590A" w:rsidP="00B87557">
      <w:pPr>
        <w:spacing w:before="60" w:after="60" w:line="276" w:lineRule="auto"/>
        <w:jc w:val="both"/>
        <w:rPr>
          <w:rFonts w:ascii="Times New Roman" w:eastAsia="Times New Roman" w:hAnsi="Times New Roman" w:cs="Times New Roman"/>
          <w:color w:val="000000"/>
          <w:sz w:val="20"/>
          <w:szCs w:val="20"/>
        </w:rPr>
      </w:pPr>
    </w:p>
    <w:p w14:paraId="7D33C102" w14:textId="6B06FDF1" w:rsidR="007E590A" w:rsidRDefault="007E590A" w:rsidP="007E590A">
      <w:pPr>
        <w:pStyle w:val="Heading1"/>
        <w:rPr>
          <w:rFonts w:eastAsia="Times New Roman"/>
          <w:color w:val="000000"/>
          <w:sz w:val="22"/>
          <w:szCs w:val="22"/>
        </w:rPr>
      </w:pPr>
      <w:r w:rsidRPr="007E590A">
        <w:rPr>
          <w:rFonts w:eastAsia="Times New Roman"/>
          <w:color w:val="000000"/>
          <w:sz w:val="22"/>
          <w:szCs w:val="22"/>
        </w:rPr>
        <w:t xml:space="preserve">V. KEY FINDINGS AND IMPLICATIONS FOR PHASE </w:t>
      </w:r>
      <w:r>
        <w:rPr>
          <w:rFonts w:eastAsia="Times New Roman"/>
          <w:color w:val="000000"/>
          <w:sz w:val="22"/>
          <w:szCs w:val="22"/>
        </w:rPr>
        <w:t>2</w:t>
      </w:r>
    </w:p>
    <w:p w14:paraId="4EDFA713" w14:textId="77777777" w:rsidR="00F633F4" w:rsidRDefault="00F633F4" w:rsidP="00F633F4">
      <w:pPr>
        <w:spacing w:before="60" w:after="60" w:line="276" w:lineRule="auto"/>
        <w:jc w:val="both"/>
      </w:pPr>
      <w:r>
        <w:rPr>
          <w:rFonts w:ascii="Times New Roman" w:eastAsia="Times New Roman" w:hAnsi="Times New Roman" w:cs="Times New Roman"/>
          <w:color w:val="000000"/>
          <w:sz w:val="20"/>
          <w:szCs w:val="20"/>
        </w:rPr>
        <w:t>The seven EDA operations collectively paint a coherent picture of food insecurity in Pakistan that aligns with and extends the motivations stated in Phase 1. Four overarching findings emerge.</w:t>
      </w:r>
    </w:p>
    <w:p w14:paraId="75196801" w14:textId="77777777" w:rsidR="00F633F4" w:rsidRDefault="00F633F4" w:rsidP="00F633F4">
      <w:pPr>
        <w:spacing w:after="60"/>
      </w:pPr>
    </w:p>
    <w:p w14:paraId="6AB7E1FA" w14:textId="77777777" w:rsidR="00F633F4" w:rsidRDefault="00F633F4" w:rsidP="00F633F4">
      <w:pPr>
        <w:pStyle w:val="Heading2"/>
      </w:pPr>
      <w:r>
        <w:rPr>
          <w:rFonts w:eastAsia="Times New Roman"/>
          <w:b/>
          <w:bCs/>
          <w:color w:val="000000"/>
        </w:rPr>
        <w:t>A. Protein Affordability Is Deteriorating</w:t>
      </w:r>
    </w:p>
    <w:p w14:paraId="2B651827" w14:textId="77777777" w:rsidR="00F633F4" w:rsidRDefault="00F633F4" w:rsidP="00F633F4">
      <w:pPr>
        <w:spacing w:before="60" w:after="60" w:line="276" w:lineRule="auto"/>
        <w:jc w:val="both"/>
      </w:pPr>
      <w:r>
        <w:rPr>
          <w:rFonts w:ascii="Times New Roman" w:eastAsia="Times New Roman" w:hAnsi="Times New Roman" w:cs="Times New Roman"/>
          <w:color w:val="000000"/>
          <w:sz w:val="20"/>
          <w:szCs w:val="20"/>
        </w:rPr>
        <w:t>EDA 1 showed that the highest price inflation between 2023 and 2025 was concentrated in protein-bearing foods: Pulse Moong (+44.2%), Beef (+37.7%), Powdered Milk Nido (+36.7%), and Eggs (+13.9%). This pattern, combined with the moderate price volatility of chicken and beef (EDA 5), indicates that protein is becoming less financially accessible for low-income households. Phase 3 modelling should treat protein expenditure share as a dependent variable of interest.</w:t>
      </w:r>
    </w:p>
    <w:p w14:paraId="605C4BF6" w14:textId="77777777" w:rsidR="00F633F4" w:rsidRDefault="00F633F4" w:rsidP="00F633F4">
      <w:pPr>
        <w:pStyle w:val="Heading2"/>
      </w:pPr>
      <w:r>
        <w:rPr>
          <w:rFonts w:eastAsia="Times New Roman"/>
          <w:b/>
          <w:bCs/>
          <w:color w:val="000000"/>
        </w:rPr>
        <w:t>B. Poverty Reduction Has Not Translated Into Nutritional Gains</w:t>
      </w:r>
    </w:p>
    <w:p w14:paraId="4FDAF442" w14:textId="77777777" w:rsidR="00F633F4" w:rsidRDefault="00F633F4" w:rsidP="00F633F4">
      <w:pPr>
        <w:spacing w:before="60" w:after="60" w:line="276" w:lineRule="auto"/>
        <w:jc w:val="both"/>
      </w:pPr>
      <w:r>
        <w:rPr>
          <w:rFonts w:ascii="Times New Roman" w:eastAsia="Times New Roman" w:hAnsi="Times New Roman" w:cs="Times New Roman"/>
          <w:color w:val="000000"/>
          <w:sz w:val="20"/>
          <w:szCs w:val="20"/>
        </w:rPr>
        <w:t>EDA 2 established that the national poverty headcount fell by 15 percentage points between 2010 and 2018, but total food supply per capita moved by only 6 kg/capita/year over the same period. This decoupling suggests that the poverty reduction was primarily an income-threshold effect rather than a substantive improvement in food quality or quantity. Any model that uses poverty rate as a proxy for nutritional adequacy will be systematically misleading.</w:t>
      </w:r>
    </w:p>
    <w:p w14:paraId="1DD9644A" w14:textId="77777777" w:rsidR="00F633F4" w:rsidRDefault="00F633F4" w:rsidP="00F633F4">
      <w:pPr>
        <w:pStyle w:val="Heading2"/>
      </w:pPr>
      <w:r>
        <w:rPr>
          <w:rFonts w:eastAsia="Times New Roman"/>
          <w:b/>
          <w:bCs/>
          <w:color w:val="000000"/>
        </w:rPr>
        <w:t>C. Geographic and Provincial Wage Inequality Compound Food Insecurity</w:t>
      </w:r>
    </w:p>
    <w:p w14:paraId="37E93C55" w14:textId="77777777" w:rsidR="00F633F4" w:rsidRDefault="00F633F4" w:rsidP="00F633F4">
      <w:pPr>
        <w:spacing w:before="60" w:after="60" w:line="276" w:lineRule="auto"/>
        <w:jc w:val="both"/>
      </w:pPr>
      <w:r>
        <w:rPr>
          <w:rFonts w:ascii="Times New Roman" w:eastAsia="Times New Roman" w:hAnsi="Times New Roman" w:cs="Times New Roman"/>
          <w:color w:val="000000"/>
          <w:sz w:val="20"/>
          <w:szCs w:val="20"/>
        </w:rPr>
        <w:t xml:space="preserve">EDA 3 and EDA 7 together revealed that cities in KPK and Balochistan face a double disadvantage: </w:t>
      </w:r>
      <w:r>
        <w:rPr>
          <w:rFonts w:ascii="Times New Roman" w:eastAsia="Times New Roman" w:hAnsi="Times New Roman" w:cs="Times New Roman"/>
          <w:color w:val="000000"/>
          <w:sz w:val="20"/>
          <w:szCs w:val="20"/>
        </w:rPr>
        <w:t>wages are substantially lower than in Punjab and ICT, and—in the case of Sindh cities such as Bahawalpur, Sukkur, and Hyderabad—food basket costs are disproportionately high. The 2.6× geographic price spread in wheat flour alone indicates that any national-level analysis of food affordability is insufficient for policy purposes.</w:t>
      </w:r>
    </w:p>
    <w:p w14:paraId="09BC4D5E" w14:textId="77777777" w:rsidR="00F633F4" w:rsidRDefault="00F633F4" w:rsidP="00F633F4">
      <w:pPr>
        <w:pStyle w:val="Heading2"/>
      </w:pPr>
      <w:r>
        <w:rPr>
          <w:rFonts w:eastAsia="Times New Roman"/>
          <w:b/>
          <w:bCs/>
          <w:color w:val="000000"/>
        </w:rPr>
        <w:t>D. Fresh Produce Price Volatility Drives Nutritional Substitution</w:t>
      </w:r>
    </w:p>
    <w:p w14:paraId="17F0C360" w14:textId="77777777" w:rsidR="00F633F4" w:rsidRDefault="00F633F4" w:rsidP="00F633F4">
      <w:pPr>
        <w:spacing w:before="60" w:after="60" w:line="276" w:lineRule="auto"/>
        <w:jc w:val="both"/>
      </w:pPr>
      <w:r>
        <w:rPr>
          <w:rFonts w:ascii="Times New Roman" w:eastAsia="Times New Roman" w:hAnsi="Times New Roman" w:cs="Times New Roman"/>
          <w:color w:val="000000"/>
          <w:sz w:val="20"/>
          <w:szCs w:val="20"/>
        </w:rPr>
        <w:t>EDA 5 demonstrated that fresh vegetables, which are the primary source of micronutrients in Pakistani diets, are the most price-volatile category (Onions 45.1%, Tomatoes 38.0%). This volatility creates rational incentives for low-income households to substitute cheaper, more predictable staples, reducing dietary diversity and exacerbating micronutrient deficiencies. Phase 3 should incorporate volatility measures alongside level prices as explanatory features.</w:t>
      </w:r>
    </w:p>
    <w:p w14:paraId="3A1F113D" w14:textId="77777777" w:rsidR="007E590A" w:rsidRPr="007E590A" w:rsidRDefault="007E590A" w:rsidP="007E590A"/>
    <w:p w14:paraId="2C5422BD" w14:textId="77777777" w:rsidR="004B4862" w:rsidRDefault="004B4862" w:rsidP="004B4862">
      <w:pPr>
        <w:pStyle w:val="Heading1"/>
        <w:rPr>
          <w:rFonts w:eastAsia="Times New Roman"/>
          <w:color w:val="000000"/>
          <w:sz w:val="22"/>
          <w:szCs w:val="22"/>
        </w:rPr>
      </w:pPr>
      <w:r w:rsidRPr="004B4862">
        <w:rPr>
          <w:rFonts w:eastAsia="Times New Roman"/>
          <w:color w:val="000000"/>
          <w:sz w:val="22"/>
          <w:szCs w:val="22"/>
        </w:rPr>
        <w:t>VI. CHALLENGES ENCOUNTERED</w:t>
      </w:r>
    </w:p>
    <w:p w14:paraId="263CC7AD" w14:textId="77777777" w:rsidR="00DC777D" w:rsidRDefault="00DC777D" w:rsidP="00DC777D">
      <w:pPr>
        <w:pStyle w:val="Heading2"/>
      </w:pPr>
      <w:r>
        <w:rPr>
          <w:rFonts w:eastAsia="Times New Roman"/>
          <w:b/>
          <w:bCs/>
          <w:color w:val="000000"/>
        </w:rPr>
        <w:t>A. FAO Data Scaling Issue</w:t>
      </w:r>
    </w:p>
    <w:p w14:paraId="04C507F3" w14:textId="77777777" w:rsidR="00DC777D" w:rsidRDefault="00DC777D" w:rsidP="00DC777D">
      <w:pPr>
        <w:spacing w:before="60" w:after="60" w:line="276" w:lineRule="auto"/>
        <w:jc w:val="both"/>
      </w:pPr>
      <w:r>
        <w:rPr>
          <w:rFonts w:ascii="Times New Roman" w:eastAsia="Times New Roman" w:hAnsi="Times New Roman" w:cs="Times New Roman"/>
          <w:color w:val="000000"/>
          <w:sz w:val="20"/>
          <w:szCs w:val="20"/>
        </w:rPr>
        <w:t>The FAO Food Balance Sheet dataset stores per-item nutrient values as fractional contributions rather than absolute per-capita intakes, resulting in implausibly low summations (e.g., total protein appearing as 7.8 g/capita/day versus the expected 60–70 g/capita/day for Pakistan). This precluded a direct protein-supply analysis as planned in Phase 1. The issue was diagnosed through verification against published FAO country data and confirmed to be a structural feature of the downloaded file. EDA 2 was adapted to use total food supply quantity as the nutritional indicator, and EDA 4 retained the Gini–food supply correlation analysis, which was unaffected by the scaling issue.</w:t>
      </w:r>
    </w:p>
    <w:p w14:paraId="15CEAF6D" w14:textId="77777777" w:rsidR="00DC777D" w:rsidRDefault="00DC777D" w:rsidP="00DC777D">
      <w:pPr>
        <w:pStyle w:val="Heading2"/>
      </w:pPr>
      <w:r>
        <w:rPr>
          <w:rFonts w:eastAsia="Times New Roman"/>
          <w:b/>
          <w:bCs/>
          <w:color w:val="000000"/>
        </w:rPr>
        <w:t>B. Sparse Poverty Survey Coverage</w:t>
      </w:r>
    </w:p>
    <w:p w14:paraId="352C9A47" w14:textId="77777777" w:rsidR="00DC777D" w:rsidRDefault="00DC777D" w:rsidP="00DC777D">
      <w:pPr>
        <w:spacing w:before="60" w:after="60" w:line="276" w:lineRule="auto"/>
        <w:jc w:val="both"/>
      </w:pPr>
      <w:r>
        <w:rPr>
          <w:rFonts w:ascii="Times New Roman" w:eastAsia="Times New Roman" w:hAnsi="Times New Roman" w:cs="Times New Roman"/>
          <w:color w:val="000000"/>
          <w:sz w:val="20"/>
          <w:szCs w:val="20"/>
        </w:rPr>
        <w:t>Pakistan’s national household surveys are conducted infrequently, with no new survey after 2018 in the World Bank dataset used. This limited the number of unique poverty observations to approximately ten for the study period, constraining the statistical power of any regression involving poverty rate. Missing values in the 2018–2023 period are structural rather than correctable and must be disclosed as a data limitation in downstream analysis and reporting.</w:t>
      </w:r>
    </w:p>
    <w:p w14:paraId="0B2759AE" w14:textId="77777777" w:rsidR="00DC777D" w:rsidRDefault="00DC777D" w:rsidP="00DC777D">
      <w:pPr>
        <w:pStyle w:val="Heading2"/>
      </w:pPr>
      <w:r>
        <w:rPr>
          <w:rFonts w:eastAsia="Times New Roman"/>
          <w:b/>
          <w:bCs/>
          <w:color w:val="000000"/>
        </w:rPr>
        <w:lastRenderedPageBreak/>
        <w:t>C. SPI Price Ordering Violations</w:t>
      </w:r>
    </w:p>
    <w:p w14:paraId="7FA8316A" w14:textId="77777777" w:rsidR="00DC777D" w:rsidRDefault="00DC777D" w:rsidP="00DC777D">
      <w:pPr>
        <w:spacing w:before="60" w:after="60" w:line="276" w:lineRule="auto"/>
        <w:jc w:val="both"/>
      </w:pPr>
      <w:r>
        <w:rPr>
          <w:rFonts w:ascii="Times New Roman" w:eastAsia="Times New Roman" w:hAnsi="Times New Roman" w:cs="Times New Roman"/>
          <w:color w:val="000000"/>
          <w:sz w:val="20"/>
          <w:szCs w:val="20"/>
        </w:rPr>
        <w:t>The raw SPI dataset contained 11,982 rows where Avg_Price exceeded Max_Price and 6,991 rows where Min_Price exceeded Max_Price, constituting a logical inconsistency in the price data. These violations are consistent with column misassignment during data extraction rather than genuine market conditions. The correction applied—sorting the three price columns per row to restore Min ≤ Avg ≤ Max—eliminated all violations without data loss. This issue was identified during the secondary cleaning phase after initial EDA revealed anomalous price relationships.</w:t>
      </w:r>
    </w:p>
    <w:p w14:paraId="727C9B1A" w14:textId="77777777" w:rsidR="00DC777D" w:rsidRDefault="00DC777D" w:rsidP="00DC777D">
      <w:pPr>
        <w:pStyle w:val="Heading2"/>
      </w:pPr>
      <w:r>
        <w:rPr>
          <w:rFonts w:eastAsia="Times New Roman"/>
          <w:b/>
          <w:bCs/>
          <w:color w:val="000000"/>
        </w:rPr>
        <w:t>D. Quetta Data Reliability</w:t>
      </w:r>
    </w:p>
    <w:p w14:paraId="31572E5B" w14:textId="77777777" w:rsidR="00DC777D" w:rsidRDefault="00DC777D" w:rsidP="00DC777D">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Wheat Flour Bag prices for Quetta in the SPI dataset were found to be constant at PKR 111.3 across all records, with a Min_Price of PKR 50.0 in every row. This pattern indicates incomplete or unreliable data recording for this city rather than a genuine flat-price environment. Quetta was excluded from EDA 7 (the wheat flour heatmap) and the finding was documented with an explicit footnote on the chart.</w:t>
      </w:r>
    </w:p>
    <w:p w14:paraId="696DB66E" w14:textId="77777777" w:rsidR="00DC777D" w:rsidRDefault="00DC777D" w:rsidP="00DC777D">
      <w:pPr>
        <w:spacing w:before="60" w:after="60" w:line="276" w:lineRule="auto"/>
        <w:jc w:val="both"/>
      </w:pPr>
    </w:p>
    <w:p w14:paraId="789A20E9" w14:textId="77777777" w:rsidR="00DC777D" w:rsidRPr="00DC777D" w:rsidRDefault="00DC777D" w:rsidP="00DC777D">
      <w:pPr>
        <w:pStyle w:val="Heading1"/>
      </w:pPr>
      <w:r w:rsidRPr="00DC777D">
        <w:rPr>
          <w:rFonts w:eastAsia="Times New Roman"/>
          <w:color w:val="000000"/>
          <w:sz w:val="22"/>
          <w:szCs w:val="22"/>
        </w:rPr>
        <w:t>VII. CONCLUSION OF PHASE 2</w:t>
      </w:r>
    </w:p>
    <w:p w14:paraId="4BED9244" w14:textId="77777777" w:rsidR="00DC777D" w:rsidRDefault="00DC777D" w:rsidP="00DC777D">
      <w:pPr>
        <w:spacing w:before="60" w:after="60" w:line="276" w:lineRule="auto"/>
        <w:jc w:val="both"/>
      </w:pPr>
      <w:r>
        <w:rPr>
          <w:rFonts w:ascii="Times New Roman" w:eastAsia="Times New Roman" w:hAnsi="Times New Roman" w:cs="Times New Roman"/>
          <w:color w:val="000000"/>
          <w:sz w:val="20"/>
          <w:szCs w:val="20"/>
        </w:rPr>
        <w:t>Phase 2 has successfully transformed four raw, heterogeneous datasets into analytically ready resources and produced seven substantive EDA findings that directly address the research questions posed in Phase 1. The cleaning pipeline resolved data-type errors, inconsistent string encoding, logical price violations, and high-missingness columns, while preserving the genuine sparsity that characterises survey-based poverty data.</w:t>
      </w:r>
    </w:p>
    <w:p w14:paraId="74110BD9" w14:textId="77777777" w:rsidR="00DC777D" w:rsidRDefault="00DC777D" w:rsidP="00DC777D">
      <w:pPr>
        <w:spacing w:after="60"/>
      </w:pPr>
    </w:p>
    <w:p w14:paraId="4D00792B" w14:textId="77777777" w:rsidR="00DC777D" w:rsidRDefault="00DC777D" w:rsidP="00DC777D">
      <w:pPr>
        <w:spacing w:before="60" w:after="60" w:line="276" w:lineRule="auto"/>
        <w:jc w:val="both"/>
      </w:pPr>
      <w:r>
        <w:rPr>
          <w:rFonts w:ascii="Times New Roman" w:eastAsia="Times New Roman" w:hAnsi="Times New Roman" w:cs="Times New Roman"/>
          <w:color w:val="000000"/>
          <w:sz w:val="20"/>
          <w:szCs w:val="20"/>
        </w:rPr>
        <w:t>The EDA revealed that food insecurity in Pakistan is not a simple function of prices or poverty in isolation. It is a multidimensional problem shaped by the interaction of rising prices in nutritionally critical food groups, stagnant food supply growth relative to poverty reduction, sharp geographic price disparities, and regional wage inequalities that make formally affordable baskets practically unaffordable in lower-wage provinces.</w:t>
      </w:r>
    </w:p>
    <w:p w14:paraId="263551D8" w14:textId="77777777" w:rsidR="00DC777D" w:rsidRDefault="00DC777D" w:rsidP="00DC777D">
      <w:pPr>
        <w:spacing w:after="60"/>
      </w:pPr>
    </w:p>
    <w:p w14:paraId="6691A289" w14:textId="2C4925D1" w:rsidR="00DC777D" w:rsidRPr="00773C23" w:rsidRDefault="00DC777D" w:rsidP="00DC777D">
      <w:pPr>
        <w:spacing w:before="60" w:after="60" w:line="276"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These findings provide a well-grounded empirical foundation for Phase 3 modelling. The features identified as most analytically informative—provincial wage levels, CV-based volatility measures, city fixed effects, and commodity-</w:t>
      </w:r>
      <w:r>
        <w:rPr>
          <w:rFonts w:ascii="Times New Roman" w:eastAsia="Times New Roman" w:hAnsi="Times New Roman" w:cs="Times New Roman"/>
          <w:color w:val="000000"/>
          <w:sz w:val="20"/>
          <w:szCs w:val="20"/>
        </w:rPr>
        <w:t>specific inflation rates—will be incorporated into the feature engineering step of the predictive modelling pipeline. The structural data limitations identified in this phase—sparse poverty survey observations and the FAO scaling issue—will be explicitly managed through model design choices and disclosed as boundaries on interpretive claims.</w:t>
      </w:r>
    </w:p>
    <w:p w14:paraId="574D305E" w14:textId="77777777" w:rsidR="00F44C4E" w:rsidRPr="0061662C" w:rsidRDefault="00F44C4E" w:rsidP="0061662C"/>
    <w:p w14:paraId="08F988C1" w14:textId="77777777" w:rsidR="004272D5" w:rsidRDefault="004272D5" w:rsidP="004272D5">
      <w:pPr>
        <w:pStyle w:val="Heading1"/>
      </w:pPr>
      <w:r>
        <w:t>References</w:t>
      </w:r>
    </w:p>
    <w:p w14:paraId="67FFF767" w14:textId="6DB0C295" w:rsidR="004272D5" w:rsidRDefault="004272D5" w:rsidP="004272D5">
      <w:pPr>
        <w:pStyle w:val="references"/>
      </w:pPr>
      <w:r>
        <w:t xml:space="preserve">[1] Pakistan Bureau of Statistics, "Pakistan Social and Living Standards Measurement Survey," Government of Pakistan, 2019. [Online]. Available: </w:t>
      </w:r>
      <w:hyperlink r:id="rId13" w:history="1">
        <w:r w:rsidRPr="00F55F1D">
          <w:rPr>
            <w:rStyle w:val="Hyperlink"/>
          </w:rPr>
          <w:t>https://www.pbs.gov.pk/</w:t>
        </w:r>
      </w:hyperlink>
    </w:p>
    <w:p w14:paraId="61C31976" w14:textId="7BF82092" w:rsidR="004272D5" w:rsidRDefault="004272D5" w:rsidP="004272D5">
      <w:pPr>
        <w:pStyle w:val="references"/>
      </w:pPr>
      <w:r>
        <w:t xml:space="preserve">[2] World Bank / HDX, "World Bank Poverty Indicators for Pakistan," Humanitarian Data Exchange, 2024. [Online]. Available: </w:t>
      </w:r>
      <w:hyperlink r:id="rId14" w:history="1">
        <w:r w:rsidRPr="00F55F1D">
          <w:rPr>
            <w:rStyle w:val="Hyperlink"/>
          </w:rPr>
          <w:t>https://data.humdata.org/dataset/world-bank-poverty-indicators-for-pakistan</w:t>
        </w:r>
      </w:hyperlink>
    </w:p>
    <w:p w14:paraId="14B4A50D" w14:textId="47819679" w:rsidR="004272D5" w:rsidRDefault="004272D5" w:rsidP="004272D5">
      <w:pPr>
        <w:pStyle w:val="references"/>
      </w:pPr>
      <w:r>
        <w:t xml:space="preserve">[3] World Bank, "World Development Indicators – Pakistan," DataBank, 2024. [Online]. Available: </w:t>
      </w:r>
      <w:hyperlink r:id="rId15" w:history="1">
        <w:r w:rsidRPr="00F55F1D">
          <w:rPr>
            <w:rStyle w:val="Hyperlink"/>
          </w:rPr>
          <w:t>https://databank.worldbank.org/source/world-development-indicators</w:t>
        </w:r>
      </w:hyperlink>
    </w:p>
    <w:p w14:paraId="712CADC0" w14:textId="27EBE957" w:rsidR="004272D5" w:rsidRDefault="004272D5" w:rsidP="004272D5">
      <w:pPr>
        <w:pStyle w:val="references"/>
      </w:pPr>
      <w:r>
        <w:t xml:space="preserve">[4] Food and Agriculture Organization, "FAOSTAT Food Balance Sheets – Pakistan," FAO, 2024. [Online]. Available: </w:t>
      </w:r>
      <w:hyperlink r:id="rId16" w:anchor="data/FBS" w:history="1">
        <w:r w:rsidRPr="00F55F1D">
          <w:rPr>
            <w:rStyle w:val="Hyperlink"/>
          </w:rPr>
          <w:t>https://www.fao.org/faostat/en/#data/FBS</w:t>
        </w:r>
      </w:hyperlink>
    </w:p>
    <w:p w14:paraId="5A128A45" w14:textId="77777777" w:rsidR="004272D5" w:rsidRDefault="004272D5" w:rsidP="004272D5">
      <w:pPr>
        <w:pStyle w:val="references"/>
      </w:pPr>
      <w:r>
        <w:t>[5] FAO, "The State of Food Security and Nutrition in the World 2023," Rome: FAO, 2023.</w:t>
      </w:r>
    </w:p>
    <w:p w14:paraId="144F6C16" w14:textId="77777777" w:rsidR="004272D5" w:rsidRDefault="004272D5" w:rsidP="004272D5">
      <w:pPr>
        <w:pStyle w:val="references"/>
      </w:pPr>
      <w:r>
        <w:t>[6] Asian Development Bank, "Poverty in Pakistan: Trends and Drivers," ADB, 2022.</w:t>
      </w:r>
    </w:p>
    <w:p w14:paraId="2713C295" w14:textId="64EFCA1E" w:rsidR="009A4629" w:rsidRDefault="009A4629" w:rsidP="009A4629">
      <w:pPr>
        <w:pStyle w:val="references"/>
      </w:pPr>
      <w:r>
        <w:t xml:space="preserve">Pakistan Bureau of Statistics, “Labour Force Survey 2022–23,” Government of Pakistan, 2023. [Online]. Available: </w:t>
      </w:r>
      <w:hyperlink r:id="rId17" w:history="1">
        <w:r w:rsidRPr="00E1037E">
          <w:rPr>
            <w:rStyle w:val="Hyperlink"/>
          </w:rPr>
          <w:t>https://www.pbs.gov.pk/</w:t>
        </w:r>
      </w:hyperlink>
    </w:p>
    <w:p w14:paraId="3C1C9037" w14:textId="3B5F43BF" w:rsidR="009A4629" w:rsidRDefault="009A4629" w:rsidP="009A4629">
      <w:pPr>
        <w:pStyle w:val="references"/>
      </w:pPr>
      <w:r>
        <w:t>J. W. Tukey, Exploratory Data Analysis. Reading, MA: Addison-Wesley, 1977.</w:t>
      </w:r>
    </w:p>
    <w:p w14:paraId="107301AB" w14:textId="42DBCA69" w:rsidR="009A4629" w:rsidRDefault="009A4629" w:rsidP="00E1037E">
      <w:pPr>
        <w:pStyle w:val="references"/>
      </w:pPr>
      <w:r>
        <w:t xml:space="preserve">[9] NIST/SEMATECH, “Exploration of Data,” in e-Handbook of Statistical Methods, 2021. [Online]. Available: </w:t>
      </w:r>
      <w:hyperlink r:id="rId18" w:history="1">
        <w:r w:rsidRPr="00E1037E">
          <w:rPr>
            <w:rStyle w:val="Hyperlink"/>
            <w:color w:val="2E74B5" w:themeColor="accent5" w:themeShade="BF"/>
          </w:rPr>
          <w:t>https://www.itl.nist</w:t>
        </w:r>
        <w:r w:rsidRPr="00E1037E">
          <w:rPr>
            <w:rStyle w:val="Hyperlink"/>
            <w:color w:val="2E74B5" w:themeColor="accent5" w:themeShade="BF"/>
          </w:rPr>
          <w:t>.</w:t>
        </w:r>
        <w:r w:rsidRPr="00E1037E">
          <w:rPr>
            <w:rStyle w:val="Hyperlink"/>
            <w:color w:val="2E74B5" w:themeColor="accent5" w:themeShade="BF"/>
          </w:rPr>
          <w:t>gov/div898/handbook/eda/section1/eda11.htm</w:t>
        </w:r>
      </w:hyperlink>
    </w:p>
    <w:p w14:paraId="42B4A4FD" w14:textId="77777777" w:rsidR="003C1909" w:rsidRDefault="003C1909" w:rsidP="003C1909"/>
    <w:p w14:paraId="272A46AB" w14:textId="77777777" w:rsidR="003C1909" w:rsidRDefault="003C1909" w:rsidP="003C1909"/>
    <w:p w14:paraId="40C20F6A" w14:textId="77777777" w:rsidR="00C047CD" w:rsidRDefault="00C047CD" w:rsidP="003C1909"/>
    <w:p w14:paraId="09198188" w14:textId="77777777" w:rsidR="00C047CD" w:rsidRDefault="00C047CD" w:rsidP="003C1909"/>
    <w:p w14:paraId="16714828" w14:textId="77777777" w:rsidR="00C047CD" w:rsidRDefault="00C047CD" w:rsidP="003C1909"/>
    <w:p w14:paraId="32E6F32C" w14:textId="77777777" w:rsidR="00C047CD" w:rsidRDefault="00C047CD" w:rsidP="003C1909"/>
    <w:p w14:paraId="1BE5CFE9" w14:textId="77777777" w:rsidR="003C1909" w:rsidRDefault="003C1909" w:rsidP="003C1909"/>
    <w:p w14:paraId="5A65E38D" w14:textId="77777777" w:rsidR="003C1909" w:rsidRDefault="003C1909" w:rsidP="003C1909"/>
    <w:p w14:paraId="28CB871F" w14:textId="77777777" w:rsidR="003C1909" w:rsidRPr="003C1909" w:rsidRDefault="003C1909" w:rsidP="003C1909">
      <w:pPr>
        <w:rPr>
          <w:rFonts w:asciiTheme="majorBidi" w:hAnsiTheme="majorBidi" w:cstheme="majorBidi"/>
          <w:sz w:val="24"/>
          <w:szCs w:val="24"/>
        </w:rPr>
      </w:pPr>
    </w:p>
    <w:sectPr w:rsidR="003C1909" w:rsidRPr="003C1909" w:rsidSect="004272D5">
      <w:pgSz w:w="11906" w:h="16838" w:code="9"/>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E469A" w14:textId="77777777" w:rsidR="00B2477D" w:rsidRDefault="00B2477D" w:rsidP="005655CC">
      <w:pPr>
        <w:spacing w:after="0" w:line="240" w:lineRule="auto"/>
      </w:pPr>
      <w:r>
        <w:separator/>
      </w:r>
    </w:p>
  </w:endnote>
  <w:endnote w:type="continuationSeparator" w:id="0">
    <w:p w14:paraId="4DEE4D75" w14:textId="77777777" w:rsidR="00B2477D" w:rsidRDefault="00B2477D" w:rsidP="00565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3081503"/>
      <w:docPartObj>
        <w:docPartGallery w:val="Page Numbers (Bottom of Page)"/>
        <w:docPartUnique/>
      </w:docPartObj>
    </w:sdtPr>
    <w:sdtEndPr/>
    <w:sdtContent>
      <w:sdt>
        <w:sdtPr>
          <w:id w:val="-1769616900"/>
          <w:docPartObj>
            <w:docPartGallery w:val="Page Numbers (Top of Page)"/>
            <w:docPartUnique/>
          </w:docPartObj>
        </w:sdtPr>
        <w:sdtEndPr/>
        <w:sdtContent>
          <w:p w14:paraId="42088256" w14:textId="5CECB95E" w:rsidR="00E2717D" w:rsidRDefault="00E2717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4F33672" w14:textId="77777777" w:rsidR="005655CC" w:rsidRDefault="00565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2A6E9" w14:textId="77777777" w:rsidR="00B2477D" w:rsidRDefault="00B2477D" w:rsidP="005655CC">
      <w:pPr>
        <w:spacing w:after="0" w:line="240" w:lineRule="auto"/>
      </w:pPr>
      <w:r>
        <w:separator/>
      </w:r>
    </w:p>
  </w:footnote>
  <w:footnote w:type="continuationSeparator" w:id="0">
    <w:p w14:paraId="468FD1A0" w14:textId="77777777" w:rsidR="00B2477D" w:rsidRDefault="00B2477D" w:rsidP="005655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6C71"/>
    <w:multiLevelType w:val="hybridMultilevel"/>
    <w:tmpl w:val="DFC673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261456"/>
    <w:multiLevelType w:val="hybridMultilevel"/>
    <w:tmpl w:val="C608A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A055FD"/>
    <w:multiLevelType w:val="hybridMultilevel"/>
    <w:tmpl w:val="2634E976"/>
    <w:lvl w:ilvl="0" w:tplc="0408EF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AD69AF"/>
    <w:multiLevelType w:val="hybridMultilevel"/>
    <w:tmpl w:val="574C67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F454E64"/>
    <w:multiLevelType w:val="multilevel"/>
    <w:tmpl w:val="400A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BD5CFF"/>
    <w:multiLevelType w:val="hybridMultilevel"/>
    <w:tmpl w:val="5D7A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5166A7"/>
    <w:multiLevelType w:val="hybridMultilevel"/>
    <w:tmpl w:val="C096DFFA"/>
    <w:lvl w:ilvl="0" w:tplc="217E51B2">
      <w:start w:val="1"/>
      <w:numFmt w:val="bullet"/>
      <w:lvlText w:val="•"/>
      <w:lvlJc w:val="left"/>
      <w:pPr>
        <w:ind w:left="720" w:hanging="360"/>
      </w:pPr>
    </w:lvl>
    <w:lvl w:ilvl="1" w:tplc="68C01E2A">
      <w:numFmt w:val="decimal"/>
      <w:lvlText w:val=""/>
      <w:lvlJc w:val="left"/>
    </w:lvl>
    <w:lvl w:ilvl="2" w:tplc="8BA831F4">
      <w:numFmt w:val="decimal"/>
      <w:lvlText w:val=""/>
      <w:lvlJc w:val="left"/>
    </w:lvl>
    <w:lvl w:ilvl="3" w:tplc="A476D84A">
      <w:numFmt w:val="decimal"/>
      <w:lvlText w:val=""/>
      <w:lvlJc w:val="left"/>
    </w:lvl>
    <w:lvl w:ilvl="4" w:tplc="0EE829C8">
      <w:numFmt w:val="decimal"/>
      <w:lvlText w:val=""/>
      <w:lvlJc w:val="left"/>
    </w:lvl>
    <w:lvl w:ilvl="5" w:tplc="3DDC79EC">
      <w:numFmt w:val="decimal"/>
      <w:lvlText w:val=""/>
      <w:lvlJc w:val="left"/>
    </w:lvl>
    <w:lvl w:ilvl="6" w:tplc="DA743DC0">
      <w:numFmt w:val="decimal"/>
      <w:lvlText w:val=""/>
      <w:lvlJc w:val="left"/>
    </w:lvl>
    <w:lvl w:ilvl="7" w:tplc="6B26FBE8">
      <w:numFmt w:val="decimal"/>
      <w:lvlText w:val=""/>
      <w:lvlJc w:val="left"/>
    </w:lvl>
    <w:lvl w:ilvl="8" w:tplc="BC44EEBE">
      <w:numFmt w:val="decimal"/>
      <w:lvlText w:val=""/>
      <w:lvlJc w:val="left"/>
    </w:lvl>
  </w:abstractNum>
  <w:abstractNum w:abstractNumId="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9" w15:restartNumberingAfterBreak="0">
    <w:nsid w:val="42DD5FDC"/>
    <w:multiLevelType w:val="hybridMultilevel"/>
    <w:tmpl w:val="83B8B5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9E253F"/>
    <w:multiLevelType w:val="hybridMultilevel"/>
    <w:tmpl w:val="554CAD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2" w15:restartNumberingAfterBreak="0">
    <w:nsid w:val="5FAD29B1"/>
    <w:multiLevelType w:val="hybridMultilevel"/>
    <w:tmpl w:val="2CA2BB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6837236"/>
    <w:multiLevelType w:val="hybridMultilevel"/>
    <w:tmpl w:val="BE30B3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98D250F"/>
    <w:multiLevelType w:val="hybridMultilevel"/>
    <w:tmpl w:val="BE5A2E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88633467">
    <w:abstractNumId w:val="13"/>
  </w:num>
  <w:num w:numId="2" w16cid:durableId="764496375">
    <w:abstractNumId w:val="12"/>
  </w:num>
  <w:num w:numId="3" w16cid:durableId="836963900">
    <w:abstractNumId w:val="10"/>
  </w:num>
  <w:num w:numId="4" w16cid:durableId="820540492">
    <w:abstractNumId w:val="14"/>
  </w:num>
  <w:num w:numId="5" w16cid:durableId="2125150319">
    <w:abstractNumId w:val="9"/>
  </w:num>
  <w:num w:numId="6" w16cid:durableId="883248289">
    <w:abstractNumId w:val="3"/>
  </w:num>
  <w:num w:numId="7" w16cid:durableId="589119471">
    <w:abstractNumId w:val="0"/>
  </w:num>
  <w:num w:numId="8" w16cid:durableId="1783110727">
    <w:abstractNumId w:val="2"/>
  </w:num>
  <w:num w:numId="9" w16cid:durableId="689456272">
    <w:abstractNumId w:val="1"/>
  </w:num>
  <w:num w:numId="10" w16cid:durableId="25254241">
    <w:abstractNumId w:val="6"/>
  </w:num>
  <w:num w:numId="11" w16cid:durableId="1291008651">
    <w:abstractNumId w:val="4"/>
  </w:num>
  <w:num w:numId="12" w16cid:durableId="1369909383">
    <w:abstractNumId w:val="5"/>
  </w:num>
  <w:num w:numId="13" w16cid:durableId="629168631">
    <w:abstractNumId w:val="8"/>
  </w:num>
  <w:num w:numId="14" w16cid:durableId="2088458160">
    <w:abstractNumId w:val="11"/>
  </w:num>
  <w:num w:numId="15" w16cid:durableId="121414936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B94"/>
    <w:rsid w:val="000160BE"/>
    <w:rsid w:val="000206AD"/>
    <w:rsid w:val="00024AB9"/>
    <w:rsid w:val="0003716A"/>
    <w:rsid w:val="00045811"/>
    <w:rsid w:val="000561CD"/>
    <w:rsid w:val="0009747C"/>
    <w:rsid w:val="000A6E70"/>
    <w:rsid w:val="000B2878"/>
    <w:rsid w:val="00112901"/>
    <w:rsid w:val="00113646"/>
    <w:rsid w:val="0013514B"/>
    <w:rsid w:val="001434CB"/>
    <w:rsid w:val="00146319"/>
    <w:rsid w:val="001B4E94"/>
    <w:rsid w:val="00221369"/>
    <w:rsid w:val="00256813"/>
    <w:rsid w:val="002920C5"/>
    <w:rsid w:val="002A26B7"/>
    <w:rsid w:val="00310D90"/>
    <w:rsid w:val="00337DAF"/>
    <w:rsid w:val="00343C30"/>
    <w:rsid w:val="00364727"/>
    <w:rsid w:val="00392653"/>
    <w:rsid w:val="00396241"/>
    <w:rsid w:val="003C1909"/>
    <w:rsid w:val="004272D5"/>
    <w:rsid w:val="00486368"/>
    <w:rsid w:val="004B4862"/>
    <w:rsid w:val="004D75EB"/>
    <w:rsid w:val="00513D5A"/>
    <w:rsid w:val="005655CC"/>
    <w:rsid w:val="00595B54"/>
    <w:rsid w:val="005A7E22"/>
    <w:rsid w:val="0061032B"/>
    <w:rsid w:val="0061662C"/>
    <w:rsid w:val="006641AE"/>
    <w:rsid w:val="00671194"/>
    <w:rsid w:val="007072D6"/>
    <w:rsid w:val="00760760"/>
    <w:rsid w:val="00773C23"/>
    <w:rsid w:val="00782376"/>
    <w:rsid w:val="0079454E"/>
    <w:rsid w:val="007B3D47"/>
    <w:rsid w:val="007D1A89"/>
    <w:rsid w:val="007D71B3"/>
    <w:rsid w:val="007E590A"/>
    <w:rsid w:val="007F48A4"/>
    <w:rsid w:val="0081533C"/>
    <w:rsid w:val="00877AD6"/>
    <w:rsid w:val="008961ED"/>
    <w:rsid w:val="008E5042"/>
    <w:rsid w:val="008E74E6"/>
    <w:rsid w:val="008F06DA"/>
    <w:rsid w:val="008F4CC5"/>
    <w:rsid w:val="009001B1"/>
    <w:rsid w:val="009230D7"/>
    <w:rsid w:val="00933DA7"/>
    <w:rsid w:val="009866F3"/>
    <w:rsid w:val="00986B94"/>
    <w:rsid w:val="009A4629"/>
    <w:rsid w:val="009A73B6"/>
    <w:rsid w:val="009B036A"/>
    <w:rsid w:val="009E7D3B"/>
    <w:rsid w:val="00A006DA"/>
    <w:rsid w:val="00A07D68"/>
    <w:rsid w:val="00A246B2"/>
    <w:rsid w:val="00A25452"/>
    <w:rsid w:val="00A50CC3"/>
    <w:rsid w:val="00A55A48"/>
    <w:rsid w:val="00A55D8F"/>
    <w:rsid w:val="00A91B84"/>
    <w:rsid w:val="00AA3F5B"/>
    <w:rsid w:val="00AC706B"/>
    <w:rsid w:val="00B2477D"/>
    <w:rsid w:val="00B50E4F"/>
    <w:rsid w:val="00B601B7"/>
    <w:rsid w:val="00B66CE9"/>
    <w:rsid w:val="00B67784"/>
    <w:rsid w:val="00B8584B"/>
    <w:rsid w:val="00B87557"/>
    <w:rsid w:val="00B957E6"/>
    <w:rsid w:val="00BA6935"/>
    <w:rsid w:val="00BF07C7"/>
    <w:rsid w:val="00BF4A0A"/>
    <w:rsid w:val="00C047CD"/>
    <w:rsid w:val="00C3403A"/>
    <w:rsid w:val="00CA7DE6"/>
    <w:rsid w:val="00CA7F2E"/>
    <w:rsid w:val="00CD6E0E"/>
    <w:rsid w:val="00CE740B"/>
    <w:rsid w:val="00D007F1"/>
    <w:rsid w:val="00D03D03"/>
    <w:rsid w:val="00D13997"/>
    <w:rsid w:val="00D7409B"/>
    <w:rsid w:val="00D8157C"/>
    <w:rsid w:val="00D9735E"/>
    <w:rsid w:val="00D97FD6"/>
    <w:rsid w:val="00DA2F8A"/>
    <w:rsid w:val="00DC777D"/>
    <w:rsid w:val="00DE54FB"/>
    <w:rsid w:val="00DF285C"/>
    <w:rsid w:val="00E1037E"/>
    <w:rsid w:val="00E14ACF"/>
    <w:rsid w:val="00E2717D"/>
    <w:rsid w:val="00E607B6"/>
    <w:rsid w:val="00E70D14"/>
    <w:rsid w:val="00E724CF"/>
    <w:rsid w:val="00E96F77"/>
    <w:rsid w:val="00EC6A3B"/>
    <w:rsid w:val="00F23E21"/>
    <w:rsid w:val="00F310BD"/>
    <w:rsid w:val="00F35A47"/>
    <w:rsid w:val="00F42F79"/>
    <w:rsid w:val="00F44C4E"/>
    <w:rsid w:val="00F55F1D"/>
    <w:rsid w:val="00F61D1C"/>
    <w:rsid w:val="00F633F4"/>
    <w:rsid w:val="00FE76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75EDD"/>
  <w15:chartTrackingRefBased/>
  <w15:docId w15:val="{BBC0A7E5-5038-45D9-895E-7C6699AA7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272D5"/>
    <w:pPr>
      <w:keepNext/>
      <w:keepLines/>
      <w:numPr>
        <w:numId w:val="13"/>
      </w:numPr>
      <w:tabs>
        <w:tab w:val="left" w:pos="216"/>
      </w:tabs>
      <w:spacing w:before="160" w:after="80" w:line="240" w:lineRule="auto"/>
      <w:ind w:firstLine="0"/>
      <w:jc w:val="center"/>
      <w:outlineLvl w:val="0"/>
    </w:pPr>
    <w:rPr>
      <w:rFonts w:ascii="Times New Roman" w:eastAsia="SimSun" w:hAnsi="Times New Roman" w:cs="Times New Roman"/>
      <w:smallCaps/>
      <w:noProof/>
      <w:kern w:val="0"/>
      <w:sz w:val="20"/>
      <w:szCs w:val="20"/>
      <w14:ligatures w14:val="none"/>
    </w:rPr>
  </w:style>
  <w:style w:type="paragraph" w:styleId="Heading2">
    <w:name w:val="heading 2"/>
    <w:basedOn w:val="Normal"/>
    <w:next w:val="Normal"/>
    <w:link w:val="Heading2Char"/>
    <w:qFormat/>
    <w:rsid w:val="004272D5"/>
    <w:pPr>
      <w:keepNext/>
      <w:keepLines/>
      <w:numPr>
        <w:ilvl w:val="1"/>
        <w:numId w:val="13"/>
      </w:numPr>
      <w:tabs>
        <w:tab w:val="clear" w:pos="360"/>
        <w:tab w:val="num" w:pos="288"/>
      </w:tabs>
      <w:spacing w:before="120" w:after="60" w:line="240" w:lineRule="auto"/>
      <w:outlineLvl w:val="1"/>
    </w:pPr>
    <w:rPr>
      <w:rFonts w:ascii="Times New Roman" w:eastAsia="SimSun" w:hAnsi="Times New Roman" w:cs="Times New Roman"/>
      <w:i/>
      <w:iCs/>
      <w:noProof/>
      <w:kern w:val="0"/>
      <w:sz w:val="20"/>
      <w:szCs w:val="20"/>
      <w14:ligatures w14:val="none"/>
    </w:rPr>
  </w:style>
  <w:style w:type="paragraph" w:styleId="Heading3">
    <w:name w:val="heading 3"/>
    <w:basedOn w:val="Normal"/>
    <w:next w:val="Normal"/>
    <w:link w:val="Heading3Char"/>
    <w:qFormat/>
    <w:rsid w:val="004272D5"/>
    <w:pPr>
      <w:numPr>
        <w:ilvl w:val="2"/>
        <w:numId w:val="13"/>
      </w:numPr>
      <w:spacing w:after="0" w:line="240" w:lineRule="exact"/>
      <w:ind w:firstLine="288"/>
      <w:jc w:val="both"/>
      <w:outlineLvl w:val="2"/>
    </w:pPr>
    <w:rPr>
      <w:rFonts w:ascii="Times New Roman" w:eastAsia="SimSun" w:hAnsi="Times New Roman" w:cs="Times New Roman"/>
      <w:i/>
      <w:iCs/>
      <w:noProof/>
      <w:kern w:val="0"/>
      <w:sz w:val="20"/>
      <w:szCs w:val="20"/>
      <w14:ligatures w14:val="none"/>
    </w:rPr>
  </w:style>
  <w:style w:type="paragraph" w:styleId="Heading4">
    <w:name w:val="heading 4"/>
    <w:basedOn w:val="Normal"/>
    <w:next w:val="Normal"/>
    <w:link w:val="Heading4Char"/>
    <w:qFormat/>
    <w:rsid w:val="004272D5"/>
    <w:pPr>
      <w:numPr>
        <w:ilvl w:val="3"/>
        <w:numId w:val="13"/>
      </w:numPr>
      <w:tabs>
        <w:tab w:val="clear" w:pos="630"/>
        <w:tab w:val="left" w:pos="720"/>
      </w:tabs>
      <w:spacing w:before="40" w:after="40" w:line="240" w:lineRule="auto"/>
      <w:ind w:firstLine="504"/>
      <w:jc w:val="both"/>
      <w:outlineLvl w:val="3"/>
    </w:pPr>
    <w:rPr>
      <w:rFonts w:ascii="Times New Roman" w:eastAsia="SimSun" w:hAnsi="Times New Roman" w:cs="Times New Roman"/>
      <w:i/>
      <w:iCs/>
      <w:noProof/>
      <w:kern w:val="0"/>
      <w:sz w:val="20"/>
      <w:szCs w:val="2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986B94"/>
    <w:pPr>
      <w:ind w:left="720"/>
      <w:contextualSpacing/>
    </w:pPr>
  </w:style>
  <w:style w:type="paragraph" w:styleId="Header">
    <w:name w:val="header"/>
    <w:basedOn w:val="Normal"/>
    <w:link w:val="HeaderChar"/>
    <w:uiPriority w:val="99"/>
    <w:unhideWhenUsed/>
    <w:rsid w:val="005655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5CC"/>
  </w:style>
  <w:style w:type="paragraph" w:styleId="Footer">
    <w:name w:val="footer"/>
    <w:basedOn w:val="Normal"/>
    <w:link w:val="FooterChar"/>
    <w:uiPriority w:val="99"/>
    <w:unhideWhenUsed/>
    <w:rsid w:val="005655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5CC"/>
  </w:style>
  <w:style w:type="paragraph" w:styleId="NormalWeb">
    <w:name w:val="Normal (Web)"/>
    <w:basedOn w:val="Normal"/>
    <w:uiPriority w:val="99"/>
    <w:semiHidden/>
    <w:unhideWhenUsed/>
    <w:rsid w:val="00E2717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Normal1">
    <w:name w:val="Normal1"/>
    <w:uiPriority w:val="99"/>
    <w:rsid w:val="00E2717D"/>
    <w:pPr>
      <w:spacing w:after="200" w:line="276" w:lineRule="auto"/>
    </w:pPr>
    <w:rPr>
      <w:rFonts w:ascii="Calibri" w:eastAsia="Calibri" w:hAnsi="Calibri" w:cs="Calibri"/>
      <w:color w:val="000000"/>
      <w:kern w:val="0"/>
      <w14:ligatures w14:val="none"/>
    </w:rPr>
  </w:style>
  <w:style w:type="table" w:styleId="TableGrid">
    <w:name w:val="Table Grid"/>
    <w:basedOn w:val="TableNormal"/>
    <w:uiPriority w:val="39"/>
    <w:rsid w:val="00E2717D"/>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E607B6"/>
    <w:rPr>
      <w:color w:val="0563C1" w:themeColor="hyperlink"/>
      <w:u w:val="single"/>
    </w:rPr>
  </w:style>
  <w:style w:type="character" w:styleId="UnresolvedMention">
    <w:name w:val="Unresolved Mention"/>
    <w:basedOn w:val="DefaultParagraphFont"/>
    <w:uiPriority w:val="99"/>
    <w:semiHidden/>
    <w:unhideWhenUsed/>
    <w:rsid w:val="00E607B6"/>
    <w:rPr>
      <w:color w:val="605E5C"/>
      <w:shd w:val="clear" w:color="auto" w:fill="E1DFDD"/>
    </w:rPr>
  </w:style>
  <w:style w:type="paragraph" w:customStyle="1" w:styleId="papertitle">
    <w:name w:val="paper title"/>
    <w:rsid w:val="004272D5"/>
    <w:pPr>
      <w:spacing w:after="120" w:line="240" w:lineRule="auto"/>
      <w:jc w:val="center"/>
    </w:pPr>
    <w:rPr>
      <w:rFonts w:ascii="Times New Roman" w:eastAsia="MS Mincho" w:hAnsi="Times New Roman" w:cs="Times New Roman"/>
      <w:noProof/>
      <w:kern w:val="0"/>
      <w:sz w:val="48"/>
      <w:szCs w:val="48"/>
      <w14:ligatures w14:val="none"/>
    </w:rPr>
  </w:style>
  <w:style w:type="character" w:customStyle="1" w:styleId="Heading1Char">
    <w:name w:val="Heading 1 Char"/>
    <w:basedOn w:val="DefaultParagraphFont"/>
    <w:link w:val="Heading1"/>
    <w:rsid w:val="004272D5"/>
    <w:rPr>
      <w:rFonts w:ascii="Times New Roman" w:eastAsia="SimSun" w:hAnsi="Times New Roman" w:cs="Times New Roman"/>
      <w:smallCaps/>
      <w:noProof/>
      <w:kern w:val="0"/>
      <w:sz w:val="20"/>
      <w:szCs w:val="20"/>
      <w14:ligatures w14:val="none"/>
    </w:rPr>
  </w:style>
  <w:style w:type="character" w:customStyle="1" w:styleId="Heading2Char">
    <w:name w:val="Heading 2 Char"/>
    <w:basedOn w:val="DefaultParagraphFont"/>
    <w:link w:val="Heading2"/>
    <w:rsid w:val="004272D5"/>
    <w:rPr>
      <w:rFonts w:ascii="Times New Roman" w:eastAsia="SimSun" w:hAnsi="Times New Roman" w:cs="Times New Roman"/>
      <w:i/>
      <w:iCs/>
      <w:noProof/>
      <w:kern w:val="0"/>
      <w:sz w:val="20"/>
      <w:szCs w:val="20"/>
      <w14:ligatures w14:val="none"/>
    </w:rPr>
  </w:style>
  <w:style w:type="character" w:customStyle="1" w:styleId="Heading3Char">
    <w:name w:val="Heading 3 Char"/>
    <w:basedOn w:val="DefaultParagraphFont"/>
    <w:link w:val="Heading3"/>
    <w:rsid w:val="004272D5"/>
    <w:rPr>
      <w:rFonts w:ascii="Times New Roman" w:eastAsia="SimSun" w:hAnsi="Times New Roman" w:cs="Times New Roman"/>
      <w:i/>
      <w:iCs/>
      <w:noProof/>
      <w:kern w:val="0"/>
      <w:sz w:val="20"/>
      <w:szCs w:val="20"/>
      <w14:ligatures w14:val="none"/>
    </w:rPr>
  </w:style>
  <w:style w:type="character" w:customStyle="1" w:styleId="Heading4Char">
    <w:name w:val="Heading 4 Char"/>
    <w:basedOn w:val="DefaultParagraphFont"/>
    <w:link w:val="Heading4"/>
    <w:rsid w:val="004272D5"/>
    <w:rPr>
      <w:rFonts w:ascii="Times New Roman" w:eastAsia="SimSun" w:hAnsi="Times New Roman" w:cs="Times New Roman"/>
      <w:i/>
      <w:iCs/>
      <w:noProof/>
      <w:kern w:val="0"/>
      <w:sz w:val="20"/>
      <w:szCs w:val="20"/>
      <w14:ligatures w14:val="none"/>
    </w:rPr>
  </w:style>
  <w:style w:type="paragraph" w:customStyle="1" w:styleId="Abstract">
    <w:name w:val="Abstract"/>
    <w:rsid w:val="004272D5"/>
    <w:pPr>
      <w:spacing w:after="200" w:line="240" w:lineRule="auto"/>
      <w:ind w:firstLine="272"/>
      <w:jc w:val="both"/>
    </w:pPr>
    <w:rPr>
      <w:rFonts w:ascii="Times New Roman" w:eastAsia="SimSun" w:hAnsi="Times New Roman" w:cs="Times New Roman"/>
      <w:b/>
      <w:bCs/>
      <w:kern w:val="0"/>
      <w:sz w:val="18"/>
      <w:szCs w:val="18"/>
      <w14:ligatures w14:val="none"/>
    </w:rPr>
  </w:style>
  <w:style w:type="paragraph" w:styleId="BodyText">
    <w:name w:val="Body Text"/>
    <w:basedOn w:val="Normal"/>
    <w:link w:val="BodyTextChar"/>
    <w:rsid w:val="004272D5"/>
    <w:pPr>
      <w:tabs>
        <w:tab w:val="left" w:pos="288"/>
      </w:tabs>
      <w:spacing w:after="120" w:line="228" w:lineRule="auto"/>
      <w:ind w:firstLine="288"/>
      <w:jc w:val="both"/>
    </w:pPr>
    <w:rPr>
      <w:rFonts w:ascii="Times New Roman" w:eastAsia="SimSun" w:hAnsi="Times New Roman" w:cs="Times New Roman"/>
      <w:spacing w:val="-1"/>
      <w:kern w:val="0"/>
      <w:sz w:val="20"/>
      <w:szCs w:val="20"/>
      <w:lang w:val="x-none" w:eastAsia="x-none"/>
      <w14:ligatures w14:val="none"/>
    </w:rPr>
  </w:style>
  <w:style w:type="character" w:customStyle="1" w:styleId="BodyTextChar">
    <w:name w:val="Body Text Char"/>
    <w:basedOn w:val="DefaultParagraphFont"/>
    <w:link w:val="BodyText"/>
    <w:rsid w:val="004272D5"/>
    <w:rPr>
      <w:rFonts w:ascii="Times New Roman" w:eastAsia="SimSun" w:hAnsi="Times New Roman" w:cs="Times New Roman"/>
      <w:spacing w:val="-1"/>
      <w:kern w:val="0"/>
      <w:sz w:val="20"/>
      <w:szCs w:val="20"/>
      <w:lang w:val="x-none" w:eastAsia="x-none"/>
      <w14:ligatures w14:val="none"/>
    </w:rPr>
  </w:style>
  <w:style w:type="paragraph" w:customStyle="1" w:styleId="bulletlist">
    <w:name w:val="bullet list"/>
    <w:basedOn w:val="BodyText"/>
    <w:rsid w:val="004272D5"/>
    <w:pPr>
      <w:numPr>
        <w:numId w:val="12"/>
      </w:numPr>
      <w:tabs>
        <w:tab w:val="clear" w:pos="648"/>
      </w:tabs>
      <w:ind w:left="576" w:hanging="288"/>
    </w:pPr>
  </w:style>
  <w:style w:type="paragraph" w:customStyle="1" w:styleId="references">
    <w:name w:val="references"/>
    <w:rsid w:val="004272D5"/>
    <w:pPr>
      <w:numPr>
        <w:numId w:val="14"/>
      </w:numPr>
      <w:spacing w:after="50" w:line="180" w:lineRule="exact"/>
      <w:jc w:val="both"/>
    </w:pPr>
    <w:rPr>
      <w:rFonts w:ascii="Times New Roman" w:eastAsia="MS Mincho" w:hAnsi="Times New Roman" w:cs="Times New Roman"/>
      <w:noProof/>
      <w:kern w:val="0"/>
      <w:sz w:val="16"/>
      <w:szCs w:val="16"/>
      <w14:ligatures w14:val="none"/>
    </w:rPr>
  </w:style>
  <w:style w:type="paragraph" w:customStyle="1" w:styleId="Keywords">
    <w:name w:val="Keywords"/>
    <w:basedOn w:val="Abstract"/>
    <w:qFormat/>
    <w:rsid w:val="004272D5"/>
    <w:pPr>
      <w:spacing w:after="120"/>
      <w:ind w:firstLine="274"/>
    </w:pPr>
    <w:rPr>
      <w:i/>
    </w:rPr>
  </w:style>
  <w:style w:type="table" w:styleId="GridTable4-Accent5">
    <w:name w:val="Grid Table 4 Accent 5"/>
    <w:basedOn w:val="TableNormal"/>
    <w:uiPriority w:val="49"/>
    <w:rsid w:val="007D1A8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9A462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966477">
      <w:bodyDiv w:val="1"/>
      <w:marLeft w:val="0"/>
      <w:marRight w:val="0"/>
      <w:marTop w:val="0"/>
      <w:marBottom w:val="0"/>
      <w:divBdr>
        <w:top w:val="none" w:sz="0" w:space="0" w:color="auto"/>
        <w:left w:val="none" w:sz="0" w:space="0" w:color="auto"/>
        <w:bottom w:val="none" w:sz="0" w:space="0" w:color="auto"/>
        <w:right w:val="none" w:sz="0" w:space="0" w:color="auto"/>
      </w:divBdr>
    </w:div>
    <w:div w:id="662395770">
      <w:bodyDiv w:val="1"/>
      <w:marLeft w:val="0"/>
      <w:marRight w:val="0"/>
      <w:marTop w:val="0"/>
      <w:marBottom w:val="0"/>
      <w:divBdr>
        <w:top w:val="none" w:sz="0" w:space="0" w:color="auto"/>
        <w:left w:val="none" w:sz="0" w:space="0" w:color="auto"/>
        <w:bottom w:val="none" w:sz="0" w:space="0" w:color="auto"/>
        <w:right w:val="none" w:sz="0" w:space="0" w:color="auto"/>
      </w:divBdr>
    </w:div>
    <w:div w:id="1644970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pbs.gov.pk/" TargetMode="External"/><Relationship Id="rId18" Type="http://schemas.openxmlformats.org/officeDocument/2006/relationships/hyperlink" Target="https://www.itl.nist.gov/div898/handbook/eda/section1/eda11.ht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fao.org/faostat/en/" TargetMode="External"/><Relationship Id="rId17" Type="http://schemas.openxmlformats.org/officeDocument/2006/relationships/hyperlink" Target="https://www.pbs.gov.pk/" TargetMode="External"/><Relationship Id="rId2" Type="http://schemas.openxmlformats.org/officeDocument/2006/relationships/styles" Target="styles.xml"/><Relationship Id="rId16" Type="http://schemas.openxmlformats.org/officeDocument/2006/relationships/hyperlink" Target="https://www.fao.org/faostat/e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bank.worldbank.org/source/world-development-indicators" TargetMode="External"/><Relationship Id="rId5" Type="http://schemas.openxmlformats.org/officeDocument/2006/relationships/footnotes" Target="footnotes.xml"/><Relationship Id="rId15" Type="http://schemas.openxmlformats.org/officeDocument/2006/relationships/hyperlink" Target="https://databank.worldbank.org/source/world-development-indicators" TargetMode="External"/><Relationship Id="rId10" Type="http://schemas.openxmlformats.org/officeDocument/2006/relationships/hyperlink" Target="https://data.humdata.org/dataset/world-bank-poverty-indicators-for-pakista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bs.gov.pk/" TargetMode="External"/><Relationship Id="rId14" Type="http://schemas.openxmlformats.org/officeDocument/2006/relationships/hyperlink" Target="https://data.humdata.org/dataset/world-bank-poverty-indicators-for-pakist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6397</Words>
  <Characters>36466</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Qurat UL Ain</dc:creator>
  <cp:keywords/>
  <dc:description/>
  <cp:lastModifiedBy>kinza eman</cp:lastModifiedBy>
  <cp:revision>2</cp:revision>
  <cp:lastPrinted>2024-03-11T19:11:00Z</cp:lastPrinted>
  <dcterms:created xsi:type="dcterms:W3CDTF">2026-05-17T18:25:00Z</dcterms:created>
  <dcterms:modified xsi:type="dcterms:W3CDTF">2026-05-17T18:25:00Z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ef830e13-47ad-4756-b265-513e1d0520af</vt:lpwstr>
  </property>
</Properties>
</file>