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F4E79"/>
          <w:sz w:val="64"/>
          <w:szCs w:val="64"/>
        </w:rPr>
        <w:t xml:space="preserve">DRUKSHIFT</w:t>
      </w:r>
    </w:p>
    <w:p>
      <w:pPr>
        <w:spacing w:before="0" w:after="480"/>
        <w:jc w:val="center"/>
      </w:pPr>
      <w:r>
        <w:rPr>
          <w:rFonts w:ascii="Arial" w:cs="Arial" w:eastAsia="Arial" w:hAnsi="Arial"/>
          <w:color w:val="F4A261"/>
          <w:sz w:val="28"/>
          <w:szCs w:val="28"/>
        </w:rPr>
        <w:t xml:space="preserve">Shift Forward, Bhutan</w:t>
      </w:r>
    </w:p>
    <w:p>
      <w:pPr>
        <w:spacing w:before="0" w:after="120"/>
        <w:jc w:val="center"/>
      </w:pPr>
      <w:r>
        <w:rPr>
          <w:rFonts w:ascii="Arial" w:cs="Arial" w:eastAsia="Arial" w:hAnsi="Arial"/>
          <w:b/>
          <w:bCs/>
          <w:color w:val="333333"/>
          <w:sz w:val="40"/>
          <w:szCs w:val="40"/>
        </w:rPr>
        <w:t xml:space="preserve">Business Report</w:t>
      </w:r>
    </w:p>
    <w:p>
      <w:pPr>
        <w:spacing w:before="0" w:after="720"/>
        <w:jc w:val="center"/>
      </w:pPr>
      <w:r>
        <w:rPr>
          <w:rFonts w:ascii="Arial" w:cs="Arial" w:eastAsia="Arial" w:hAnsi="Arial"/>
          <w:color w:val="2E75B6"/>
          <w:sz w:val="28"/>
          <w:szCs w:val="28"/>
        </w:rPr>
        <w:t xml:space="preserve">Cryptocurrency Readiness in Bhutan</w:t>
      </w:r>
    </w:p>
    <w:p>
      <w:pPr>
        <w:spacing w:before="60" w:after="60"/>
      </w:pPr>
      <w:r>
        <w:t xml:space="preserve"/>
      </w:r>
    </w:p>
    <w:p>
      <w:pPr>
        <w:spacing w:before="60" w:after="60"/>
      </w:pPr>
      <w:r>
        <w:t xml:space="preserve"/>
      </w:r>
    </w:p>
    <w:p>
      <w:pPr>
        <w:jc w:val="center"/>
      </w:pPr>
      <w:r>
        <w:rPr>
          <w:rFonts w:ascii="Arial" w:cs="Arial" w:eastAsia="Arial" w:hAnsi="Arial"/>
          <w:color w:val="555555"/>
          <w:sz w:val="24"/>
          <w:szCs w:val="24"/>
        </w:rPr>
        <w:t xml:space="preserve">Prepared by: Kinzang Choden</w:t>
      </w:r>
    </w:p>
    <w:p>
      <w:pPr>
        <w:jc w:val="center"/>
      </w:pPr>
      <w:r>
        <w:rPr>
          <w:rFonts w:ascii="Arial" w:cs="Arial" w:eastAsia="Arial" w:hAnsi="Arial"/>
          <w:color w:val="777777"/>
          <w:sz w:val="22"/>
          <w:szCs w:val="22"/>
        </w:rPr>
        <w:t xml:space="preserve">3rd Year Business Intelligence Student</w:t>
      </w:r>
    </w:p>
    <w:p>
      <w:pPr>
        <w:jc w:val="center"/>
      </w:pPr>
      <w:r>
        <w:rPr>
          <w:rFonts w:ascii="Arial" w:cs="Arial" w:eastAsia="Arial" w:hAnsi="Arial"/>
          <w:color w:val="777777"/>
          <w:sz w:val="22"/>
          <w:szCs w:val="22"/>
        </w:rPr>
        <w:t xml:space="preserve">Intern at Bhutan Data Scientists Pvt. Ltd</w:t>
      </w:r>
    </w:p>
    <w:p>
      <w:pPr>
        <w:spacing w:after="720"/>
        <w:jc w:val="center"/>
      </w:pPr>
      <w:r>
        <w:rPr>
          <w:rFonts w:ascii="Arial" w:cs="Arial" w:eastAsia="Arial" w:hAnsi="Arial"/>
          <w:color w:val="777777"/>
          <w:sz w:val="22"/>
          <w:szCs w:val="22"/>
        </w:rPr>
        <w:t xml:space="preserve">BDS Internship 2026</w:t>
      </w:r>
    </w:p>
    <w:p>
      <w:pPr>
        <w:spacing w:before="60" w:after="60"/>
      </w:pPr>
      <w:r>
        <w:t xml:space="preserve"/>
      </w:r>
    </w:p>
    <w:p>
      <w:pPr>
        <w:spacing w:before="60" w:after="60"/>
      </w:pPr>
      <w:r>
        <w:t xml:space="preserve"/>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1. Executive Summary</w:t>
      </w:r>
    </w:p>
    <w:p>
      <w:pPr>
        <w:spacing w:before="80" w:after="80"/>
        <w:jc w:val="both"/>
      </w:pPr>
      <w:r>
        <w:rPr>
          <w:rFonts w:ascii="Arial" w:cs="Arial" w:eastAsia="Arial" w:hAnsi="Arial"/>
          <w:color w:val="333333"/>
          <w:sz w:val="22"/>
          <w:szCs w:val="22"/>
        </w:rPr>
        <w:t xml:space="preserve">DrukShift is a survey-based data analysis project that measures cryptocurrency readiness among Bhutanese adults. The project was developed as part of the BDS Internship 2026 at Bhutan Data Scientists Pvt. Ltd. The core objective was to answer one critical business question: are people in Bhutan actually ready to adopt cryptocurrency?</w:t>
      </w:r>
    </w:p>
    <w:p>
      <w:pPr>
        <w:spacing w:before="60" w:after="60"/>
      </w:pPr>
      <w:r>
        <w:t xml:space="preserve"/>
      </w:r>
    </w:p>
    <w:p>
      <w:pPr>
        <w:spacing w:before="80" w:after="80"/>
        <w:jc w:val="both"/>
      </w:pPr>
      <w:r>
        <w:rPr>
          <w:rFonts w:ascii="Arial" w:cs="Arial" w:eastAsia="Arial" w:hAnsi="Arial"/>
          <w:color w:val="333333"/>
          <w:sz w:val="22"/>
          <w:szCs w:val="22"/>
        </w:rPr>
        <w:t xml:space="preserve">The project analyzed 113 valid survey responses across urban, semi-urban, rural and overseas respondents. The findings reveal that Bhutan is approximately 80% ready for cryptocurrency adoption, with an average readiness score of 12.75 out of 16. However, significant gaps exist in education, internet infrastructure and psychological trust that must be addressed before meaningful adoption can occur.</w:t>
      </w:r>
    </w:p>
    <w:p>
      <w:pPr>
        <w:spacing w:before="60" w:after="60"/>
      </w:pPr>
      <w:r>
        <w:t xml:space="preserve"/>
      </w:r>
    </w:p>
    <w:p>
      <w:pPr>
        <w:pBdr>
          <w:left w:val="single" w:color="F4A261" w:sz="12" w:space="4"/>
        </w:pBdr>
        <w:spacing w:before="120" w:after="120"/>
        <w:ind w:left="720"/>
        <w:jc w:val="center"/>
      </w:pPr>
      <w:r>
        <w:rPr>
          <w:rFonts w:ascii="Arial" w:cs="Arial" w:eastAsia="Arial" w:hAnsi="Arial"/>
          <w:b/>
          <w:bCs/>
          <w:i/>
          <w:iCs/>
          <w:color w:val="1F4E79"/>
          <w:sz w:val="24"/>
          <w:szCs w:val="24"/>
        </w:rPr>
        <w:t xml:space="preserve">Crypto readiness in Bhutan is not just a technology question — it is a GNH question.</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2. Business Problem</w:t>
      </w:r>
    </w:p>
    <w:p>
      <w:pPr>
        <w:spacing w:before="80" w:after="80"/>
        <w:jc w:val="both"/>
      </w:pPr>
      <w:r>
        <w:rPr>
          <w:rFonts w:ascii="Arial" w:cs="Arial" w:eastAsia="Arial" w:hAnsi="Arial"/>
          <w:color w:val="333333"/>
          <w:sz w:val="22"/>
          <w:szCs w:val="22"/>
        </w:rPr>
        <w:t xml:space="preserve">Bhutan is moving toward digital financial growth, but no one has clearly measured whether residents are actually ready to use cryptocurrency. Without this information, businesses and the government may invest in crypto solutions that people are not prepared or confident enough to use. This project solves that by collecting real data and turning it into useful business insights.</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3. Project Overview</w:t>
      </w:r>
    </w:p>
    <w:p>
      <w:pPr>
        <w:pStyle w:val="Heading2"/>
        <w:spacing w:before="240" w:after="80"/>
      </w:pPr>
      <w:r>
        <w:rPr>
          <w:rFonts w:ascii="Arial" w:cs="Arial" w:eastAsia="Arial" w:hAnsi="Arial"/>
          <w:b/>
          <w:bCs/>
          <w:color w:val="2E75B6"/>
          <w:sz w:val="26"/>
          <w:szCs w:val="26"/>
        </w:rPr>
        <w:t xml:space="preserve">3.1 Survey Design</w:t>
      </w:r>
    </w:p>
    <w:p>
      <w:pPr>
        <w:spacing w:before="80" w:after="80"/>
        <w:jc w:val="both"/>
      </w:pPr>
      <w:r>
        <w:rPr>
          <w:rFonts w:ascii="Arial" w:cs="Arial" w:eastAsia="Arial" w:hAnsi="Arial"/>
          <w:color w:val="333333"/>
          <w:sz w:val="22"/>
          <w:szCs w:val="22"/>
        </w:rPr>
        <w:t xml:space="preserve">A structured online survey was designed and distributed to Bhutanese adults aged 18 and above. The survey collected responses across 20 questions covering digital payment habits, crypto awareness, understanding, trust, security concerns, barriers and adoption willingness.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Total Responses Collected</w:t>
            </w:r>
          </w:p>
        </w:tc>
        <w:tc>
          <w:tcPr>
            <w:tcW w:type="dxa" w:w="5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115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 Responses Used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113 (2 removed — under 18 and missing age)</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Survey Period</w:t>
            </w:r>
          </w:p>
        </w:tc>
        <w:tc>
          <w:tcPr>
            <w:tcW w:type="dxa" w:w="5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Distribution Method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survey</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Geographic Coverage</w:t>
            </w:r>
          </w:p>
        </w:tc>
        <w:tc>
          <w:tcPr>
            <w:tcW w:type="dxa" w:w="5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Urban, Semi-Urban, Rural and Overseas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3.2 Data Cleaning</w:t>
      </w:r>
    </w:p>
    <w:p>
      <w:pPr>
        <w:spacing w:before="80" w:after="80"/>
        <w:jc w:val="both"/>
      </w:pPr>
      <w:r>
        <w:rPr>
          <w:rFonts w:ascii="Arial" w:cs="Arial" w:eastAsia="Arial" w:hAnsi="Arial"/>
          <w:color w:val="333333"/>
          <w:sz w:val="22"/>
          <w:szCs w:val="22"/>
        </w:rPr>
        <w:t xml:space="preserve">Raw survey data was cleaned using Python and Pandas. The cleaning process included removing invalid responses, standardizing column names, converting Likert scale responses to numerical values, and reversing scale directions for relevant questions where strongly agree meant a positive outcome.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3.3 Readiness Score</w:t>
      </w:r>
    </w:p>
    <w:p>
      <w:pPr>
        <w:spacing w:before="80" w:after="80"/>
        <w:jc w:val="both"/>
      </w:pPr>
      <w:r>
        <w:rPr>
          <w:rFonts w:ascii="Arial" w:cs="Arial" w:eastAsia="Arial" w:hAnsi="Arial"/>
          <w:color w:val="333333"/>
          <w:sz w:val="22"/>
          <w:szCs w:val="22"/>
        </w:rPr>
        <w:t xml:space="preserve">A composite Readiness Score was calculated by combining four key survey questions. The maximum possible score is 16 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Q13 Digital Familiarity</w:t>
            </w:r>
          </w:p>
        </w:tc>
        <w:tc>
          <w:tcPr>
            <w:tcW w:type="dxa" w:w="4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Digital education and access</w:t>
            </w:r>
          </w:p>
        </w:tc>
        <w:tc>
          <w:tcPr>
            <w:tcW w:type="dxa" w:w="1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Q15 Crypto Understanding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Knowledge of cryptocurrency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Q18 Feel Ready</w:t>
            </w:r>
          </w:p>
        </w:tc>
        <w:tc>
          <w:tcPr>
            <w:tcW w:type="dxa" w:w="4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Personal confidence level</w:t>
            </w:r>
          </w:p>
        </w:tc>
        <w:tc>
          <w:tcPr>
            <w:tcW w:type="dxa" w:w="1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Q19 Would Adopt Crypto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Willingness to adopt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4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Overall Crypto Readiness</w:t>
            </w:r>
          </w:p>
        </w:tc>
        <w:tc>
          <w:tcPr>
            <w:tcW w:type="dxa" w:w="1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16</w:t>
            </w:r>
          </w:p>
        </w:tc>
      </w:tr>
    </w:tbl>
    <w:p>
      <w:pPr>
        <w:spacing w:before="60" w:after="60"/>
      </w:pPr>
      <w:r>
        <w:t xml:space="preserve"/>
      </w:r>
    </w:p>
    <w:p>
      <w:pPr>
        <w:spacing w:before="80" w:after="80"/>
        <w:jc w:val="both"/>
      </w:pPr>
      <w:r>
        <w:rPr>
          <w:rFonts w:ascii="Arial" w:cs="Arial" w:eastAsia="Arial" w:hAnsi="Arial"/>
          <w:color w:val="333333"/>
          <w:sz w:val="22"/>
          <w:szCs w:val="22"/>
        </w:rPr>
        <w:t xml:space="preserve">The average readiness score across all 113 respondents was 12.75 out of 16 — equivalent to approximately 80% readiness overall.</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4. Data Visualisation</w:t>
      </w:r>
    </w:p>
    <w:p>
      <w:pPr>
        <w:spacing w:before="80" w:after="80"/>
        <w:jc w:val="both"/>
      </w:pPr>
      <w:r>
        <w:rPr>
          <w:rFonts w:ascii="Arial" w:cs="Arial" w:eastAsia="Arial" w:hAnsi="Arial"/>
          <w:color w:val="333333"/>
          <w:sz w:val="22"/>
          <w:szCs w:val="22"/>
        </w:rPr>
        <w:t xml:space="preserve">An interactive Tableau dashboard was built with 12 visualizations covering all key dimensions of the survey data. The dashboard was published to Tableau Public and embedded on the DrukShift project website.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Sheet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Total Response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KPI Card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113 total valid respondents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Stacked Bar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Respondents by age group and area</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Area Distribution by Map</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Geographic Map</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Geographic spread of respondents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Bubble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often people use digital payments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Crypto Awareness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Donut Chart</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Percentage who have heard of crypto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Crypto Understanding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of crypto knowledge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Crypto Adoption</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Donut Chart</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Willingness to adopt crypto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Barriers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Horizontal Bar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barriers to adoption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Support Needed</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Treemap</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What kind of help people need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Readiness Score by Area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Heatmap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by age group and area</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Bhutan Readiness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Waffle Chart</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How ready Bhutan is perceived to 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GNH Alignment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Horizontal Bar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Readiness mapped to GNH domains</w:t>
            </w:r>
          </w:p>
        </w:tc>
      </w:tr>
    </w:tbl>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5. GNH Alignment</w:t>
      </w:r>
    </w:p>
    <w:p>
      <w:pPr>
        <w:spacing w:before="80" w:after="80"/>
        <w:jc w:val="both"/>
      </w:pPr>
      <w:r>
        <w:rPr>
          <w:rFonts w:ascii="Arial" w:cs="Arial" w:eastAsia="Arial" w:hAnsi="Arial"/>
          <w:color w:val="333333"/>
          <w:sz w:val="22"/>
          <w:szCs w:val="22"/>
        </w:rPr>
        <w:t xml:space="preserve">What makes this project uniquely Bhutanese is its alignment with Gross National Happiness values. While most countries measure crypto readiness through financial and technical indicators alone, this project maps readiness across six GNH domains — showing that cryptocurrency adoption is fundamentally a human and happiness question, not just a technology question.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GNH Domain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Connection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Education</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Q15 Crypto Understanding</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18-24 score 3.14/4 but 55+ score only 1.83/4 — clear education 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Living Standards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Q13 Digital Familiarity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respondents are familiar with digital tools — good foundation</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Psychological Wellbeing</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Q10 Trust + Q12 Security</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45-54 age group shows highest security concern — fear is a barrier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Q17 Government Support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Training programs are the most requested government support</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Community Vitality</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Q14 Awareness + Q19 Adoption</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96% aware but urban communities dominate adoption willingness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Frequency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Urban residents use digital payments most — crypto is the natural next step</w:t>
            </w:r>
          </w:p>
        </w:tc>
      </w:tr>
    </w:tbl>
    <w:p>
      <w:pPr>
        <w:spacing w:before="60" w:after="60"/>
      </w:pPr>
      <w:r>
        <w:t xml:space="preserve"/>
      </w:r>
    </w:p>
    <w:p>
      <w:pPr>
        <w:pBdr>
          <w:left w:val="single" w:color="F4A261" w:sz="12" w:space="4"/>
        </w:pBdr>
        <w:spacing w:before="120" w:after="120"/>
        <w:ind w:left="720"/>
        <w:jc w:val="center"/>
      </w:pPr>
      <w:r>
        <w:rPr>
          <w:rFonts w:ascii="Arial" w:cs="Arial" w:eastAsia="Arial" w:hAnsi="Arial"/>
          <w:b/>
          <w:bCs/>
          <w:i/>
          <w:iCs/>
          <w:color w:val="1F4E79"/>
          <w:sz w:val="24"/>
          <w:szCs w:val="24"/>
        </w:rPr>
        <w:t xml:space="preserve">In Bhutan, any new technology must earn its place — not just by being innovative, but by being good for our people.</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6. Key Findings</w:t>
      </w:r>
    </w:p>
    <w:p>
      <w:pPr>
        <w:pStyle w:val="Heading2"/>
        <w:spacing w:before="240" w:after="80"/>
      </w:pPr>
      <w:r>
        <w:rPr>
          <w:rFonts w:ascii="Arial" w:cs="Arial" w:eastAsia="Arial" w:hAnsi="Arial"/>
          <w:b/>
          <w:bCs/>
          <w:color w:val="2E75B6"/>
          <w:sz w:val="26"/>
          <w:szCs w:val="26"/>
        </w:rPr>
        <w:t xml:space="preserve">Finding 1 — Bhutan is 80% Ready</w:t>
      </w:r>
    </w:p>
    <w:p>
      <w:pPr>
        <w:spacing w:before="80" w:after="80"/>
        <w:jc w:val="both"/>
      </w:pPr>
      <w:r>
        <w:rPr>
          <w:rFonts w:ascii="Arial" w:cs="Arial" w:eastAsia="Arial" w:hAnsi="Arial"/>
          <w:color w:val="333333"/>
          <w:sz w:val="22"/>
          <w:szCs w:val="22"/>
        </w:rPr>
        <w:t xml:space="preserve">The average readiness score of 12.75 out of 16 indicates strong foundational readiness for cryptocurrency adoption. This is a positive signal for businesses and policymakers planning digital finance initiatives in Bhutan.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Finding 2 — High Awareness, Low Understanding</w:t>
      </w:r>
    </w:p>
    <w:p>
      <w:pPr>
        <w:spacing w:before="80" w:after="80"/>
        <w:jc w:val="both"/>
      </w:pPr>
      <w:r>
        <w:rPr>
          <w:rFonts w:ascii="Arial" w:cs="Arial" w:eastAsia="Arial" w:hAnsi="Arial"/>
          <w:color w:val="333333"/>
          <w:sz w:val="22"/>
          <w:szCs w:val="22"/>
        </w:rPr>
        <w:t xml:space="preserve">96% of respondents have heard of cryptocurrency but most only have basic understanding. This gap between awareness and knowledge is the single biggest education opportunity for businesses and training providers.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Finding 3 — Poor Internet is Barrier Number One</w:t>
      </w:r>
    </w:p>
    <w:p>
      <w:pPr>
        <w:spacing w:before="80" w:after="80"/>
        <w:jc w:val="both"/>
      </w:pPr>
      <w:r>
        <w:rPr>
          <w:rFonts w:ascii="Arial" w:cs="Arial" w:eastAsia="Arial" w:hAnsi="Arial"/>
          <w:color w:val="333333"/>
          <w:sz w:val="22"/>
          <w:szCs w:val="22"/>
        </w:rPr>
        <w:t xml:space="preserve">Poor internet connection is the biggest barrier to adoption, especially for rural communities. Without solving the infrastructure problem first, crypto adoption will remain an urban privilege and widen the existing digital divide.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Finding 4 — Age Predicts Readiness More Than Location</w:t>
      </w:r>
    </w:p>
    <w:p>
      <w:pPr>
        <w:spacing w:before="80" w:after="80"/>
        <w:jc w:val="both"/>
      </w:pPr>
      <w:r>
        <w:rPr>
          <w:rFonts w:ascii="Arial" w:cs="Arial" w:eastAsia="Arial" w:hAnsi="Arial"/>
          <w:color w:val="333333"/>
          <w:sz w:val="22"/>
          <w:szCs w:val="22"/>
        </w:rPr>
        <w:t xml:space="preserve">Age is a stronger predictor of readiness than location. Younger respondents show consistently higher scores regardless of where they live — challenging the assumption that city residents are always more digitally advanced.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Finding 5 — Semi-Urban Middle-Aged Groups Lead</w:t>
      </w:r>
    </w:p>
    <w:p>
      <w:pPr>
        <w:spacing w:before="80" w:after="80"/>
        <w:jc w:val="both"/>
      </w:pPr>
      <w:r>
        <w:rPr>
          <w:rFonts w:ascii="Arial" w:cs="Arial" w:eastAsia="Arial" w:hAnsi="Arial"/>
          <w:color w:val="333333"/>
          <w:sz w:val="22"/>
          <w:szCs w:val="22"/>
        </w:rPr>
        <w:t xml:space="preserve">Semi-Urban respondents aged 35-54 scored the highest readiness at 15.0 out of 16. Urban residents aged 55 and above scored the lowest at 7.8 out of 16 — identifying this as the most vulnerable group requiring targeted education.</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7. Web Integration</w:t>
      </w:r>
    </w:p>
    <w:p>
      <w:pPr>
        <w:spacing w:before="80" w:after="80"/>
        <w:jc w:val="both"/>
      </w:pPr>
      <w:r>
        <w:rPr>
          <w:rFonts w:ascii="Arial" w:cs="Arial" w:eastAsia="Arial" w:hAnsi="Arial"/>
          <w:color w:val="333333"/>
          <w:sz w:val="22"/>
          <w:szCs w:val="22"/>
        </w:rPr>
        <w:t xml:space="preserve">The project findings were published as a live interactive website using HTML, CSS and JavaScript. The website is hosted on GitHub Pages and accessible to anyone with the link.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Website URL</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https://kinzang7066.github.io/Cryptocurrency_Readiness_In_Bhutan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 CSS, JavaScript</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Hosting Platform</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GitHub Pages — free and publicly accessible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Opens full Tableau dashboard in a modal popup</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GNH Story Button</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Opens dedicated GNH alignment 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Responsive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optimized for phones and tablets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Key Findings Section</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4 insight cards with color-coded domains</w:t>
            </w:r>
          </w:p>
        </w:tc>
      </w:tr>
    </w:tbl>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8. Tools and Technologies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Python + Pandas</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Data cleaning and numerical transformation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Public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dashboard and story visualization</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HTML + CSS + JavaScript</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Project website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 GitHub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control and live website hosting</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VS Code</w:t>
            </w:r>
          </w:p>
        </w:tc>
        <w:tc>
          <w:tcPr>
            <w:tcW w:type="dxa" w:w="6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color w:val="333333"/>
                <w:sz w:val="20"/>
                <w:szCs w:val="20"/>
              </w:rPr>
              <w:t xml:space="preserve">Code editor for all development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Forms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survey data collection</w:t>
            </w:r>
          </w:p>
        </w:tc>
      </w:tr>
    </w:tbl>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9. Data Limitations</w:t>
      </w:r>
    </w:p>
    <w:p>
      <w:pPr>
        <w:pStyle w:val="ListParagraph"/>
        <w:numPr>
          <w:ilvl w:val="0"/>
          <w:numId w:val="2"/>
        </w:numPr>
        <w:spacing w:before="40" w:after="40"/>
      </w:pPr>
      <w:r>
        <w:rPr>
          <w:rFonts w:ascii="Arial" w:cs="Arial" w:eastAsia="Arial" w:hAnsi="Arial"/>
          <w:color w:val="333333"/>
          <w:sz w:val="22"/>
          <w:szCs w:val="22"/>
        </w:rPr>
        <w:t xml:space="preserve">Most respondents are young (18-24) and from urban areas — rural and older voices are underrepresented</w:t>
      </w:r>
    </w:p>
    <w:p>
      <w:pPr>
        <w:pStyle w:val="ListParagraph"/>
        <w:numPr>
          <w:ilvl w:val="0"/>
          <w:numId w:val="2"/>
        </w:numPr>
        <w:spacing w:before="40" w:after="40"/>
      </w:pPr>
      <w:r>
        <w:rPr>
          <w:rFonts w:ascii="Arial" w:cs="Arial" w:eastAsia="Arial" w:hAnsi="Arial"/>
          <w:color w:val="333333"/>
          <w:sz w:val="22"/>
          <w:szCs w:val="22"/>
        </w:rPr>
        <w:t xml:space="preserve">Sample size of 113 is relatively small for a country-wide conclusion</w:t>
      </w:r>
    </w:p>
    <w:p>
      <w:pPr>
        <w:pStyle w:val="ListParagraph"/>
        <w:numPr>
          <w:ilvl w:val="0"/>
          <w:numId w:val="2"/>
        </w:numPr>
        <w:spacing w:before="40" w:after="40"/>
      </w:pPr>
      <w:r>
        <w:rPr>
          <w:rFonts w:ascii="Arial" w:cs="Arial" w:eastAsia="Arial" w:hAnsi="Arial"/>
          <w:color w:val="333333"/>
          <w:sz w:val="22"/>
          <w:szCs w:val="22"/>
        </w:rPr>
        <w:t xml:space="preserve">All responses are self-reported and may be influenced by misunderstanding or social desirability bias</w:t>
      </w:r>
    </w:p>
    <w:p>
      <w:pPr>
        <w:pStyle w:val="ListParagraph"/>
        <w:numPr>
          <w:ilvl w:val="0"/>
          <w:numId w:val="2"/>
        </w:numPr>
        <w:spacing w:before="40" w:after="40"/>
      </w:pPr>
      <w:r>
        <w:rPr>
          <w:rFonts w:ascii="Arial" w:cs="Arial" w:eastAsia="Arial" w:hAnsi="Arial"/>
          <w:color w:val="333333"/>
          <w:sz w:val="22"/>
          <w:szCs w:val="22"/>
        </w:rPr>
        <w:t xml:space="preserve">Findings should be treated as a starting point for further research rather than a definitive conclusion</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10. Business Recommendations</w:t>
      </w:r>
    </w:p>
    <w:p>
      <w:pPr>
        <w:pStyle w:val="Heading2"/>
        <w:spacing w:before="240" w:after="80"/>
      </w:pPr>
      <w:r>
        <w:rPr>
          <w:rFonts w:ascii="Arial" w:cs="Arial" w:eastAsia="Arial" w:hAnsi="Arial"/>
          <w:b/>
          <w:bCs/>
          <w:color w:val="2E75B6"/>
          <w:sz w:val="26"/>
          <w:szCs w:val="26"/>
        </w:rPr>
        <w:t xml:space="preserve">For Government and Policymakers</w:t>
      </w:r>
    </w:p>
    <w:p>
      <w:pPr>
        <w:pStyle w:val="ListParagraph"/>
        <w:numPr>
          <w:ilvl w:val="0"/>
          <w:numId w:val="2"/>
        </w:numPr>
        <w:spacing w:before="40" w:after="40"/>
      </w:pPr>
      <w:r>
        <w:rPr>
          <w:rFonts w:ascii="Arial" w:cs="Arial" w:eastAsia="Arial" w:hAnsi="Arial"/>
          <w:color w:val="333333"/>
          <w:sz w:val="22"/>
          <w:szCs w:val="22"/>
        </w:rPr>
        <w:t xml:space="preserve">Run targeted crypto awareness campaigns for groups with low knowledge but high smartphone access</w:t>
      </w:r>
    </w:p>
    <w:p>
      <w:pPr>
        <w:pStyle w:val="ListParagraph"/>
        <w:numPr>
          <w:ilvl w:val="0"/>
          <w:numId w:val="2"/>
        </w:numPr>
        <w:spacing w:before="40" w:after="40"/>
      </w:pPr>
      <w:r>
        <w:rPr>
          <w:rFonts w:ascii="Arial" w:cs="Arial" w:eastAsia="Arial" w:hAnsi="Arial"/>
          <w:color w:val="333333"/>
          <w:sz w:val="22"/>
          <w:szCs w:val="22"/>
        </w:rPr>
        <w:t xml:space="preserve">Invest in internet infrastructure in rural areas before expecting widespread crypto adoption</w:t>
      </w:r>
    </w:p>
    <w:p>
      <w:pPr>
        <w:pStyle w:val="ListParagraph"/>
        <w:numPr>
          <w:ilvl w:val="0"/>
          <w:numId w:val="2"/>
        </w:numPr>
        <w:spacing w:before="40" w:after="40"/>
      </w:pPr>
      <w:r>
        <w:rPr>
          <w:rFonts w:ascii="Arial" w:cs="Arial" w:eastAsia="Arial" w:hAnsi="Arial"/>
          <w:color w:val="333333"/>
          <w:sz w:val="22"/>
          <w:szCs w:val="22"/>
        </w:rPr>
        <w:t xml:space="preserve">Develop clear cryptocurrency regulations to build public trust and reduce psychological fear</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For Banks and Financial Institutions</w:t>
      </w:r>
    </w:p>
    <w:p>
      <w:pPr>
        <w:pStyle w:val="ListParagraph"/>
        <w:numPr>
          <w:ilvl w:val="0"/>
          <w:numId w:val="2"/>
        </w:numPr>
        <w:spacing w:before="40" w:after="40"/>
      </w:pPr>
      <w:r>
        <w:rPr>
          <w:rFonts w:ascii="Arial" w:cs="Arial" w:eastAsia="Arial" w:hAnsi="Arial"/>
          <w:color w:val="333333"/>
          <w:sz w:val="22"/>
          <w:szCs w:val="22"/>
        </w:rPr>
        <w:t xml:space="preserve">Design crypto tools that are simple to use and minimize fear of mistakes</w:t>
      </w:r>
    </w:p>
    <w:p>
      <w:pPr>
        <w:pStyle w:val="ListParagraph"/>
        <w:numPr>
          <w:ilvl w:val="0"/>
          <w:numId w:val="2"/>
        </w:numPr>
        <w:spacing w:before="40" w:after="40"/>
      </w:pPr>
      <w:r>
        <w:rPr>
          <w:rFonts w:ascii="Arial" w:cs="Arial" w:eastAsia="Arial" w:hAnsi="Arial"/>
          <w:color w:val="333333"/>
          <w:sz w:val="22"/>
          <w:szCs w:val="22"/>
        </w:rPr>
        <w:t xml:space="preserve">Communicate clearly about security protections and consumer rights</w:t>
      </w:r>
    </w:p>
    <w:p>
      <w:pPr>
        <w:pStyle w:val="ListParagraph"/>
        <w:numPr>
          <w:ilvl w:val="0"/>
          <w:numId w:val="2"/>
        </w:numPr>
        <w:spacing w:before="40" w:after="40"/>
      </w:pPr>
      <w:r>
        <w:rPr>
          <w:rFonts w:ascii="Arial" w:cs="Arial" w:eastAsia="Arial" w:hAnsi="Arial"/>
          <w:color w:val="333333"/>
          <w:sz w:val="22"/>
          <w:szCs w:val="22"/>
        </w:rPr>
        <w:t xml:space="preserve">Target younger urban demographics first as they show the highest readiness and willingness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For Smart City Developers</w:t>
      </w:r>
    </w:p>
    <w:p>
      <w:pPr>
        <w:pStyle w:val="ListParagraph"/>
        <w:numPr>
          <w:ilvl w:val="0"/>
          <w:numId w:val="2"/>
        </w:numPr>
        <w:spacing w:before="40" w:after="40"/>
      </w:pPr>
      <w:r>
        <w:rPr>
          <w:rFonts w:ascii="Arial" w:cs="Arial" w:eastAsia="Arial" w:hAnsi="Arial"/>
          <w:color w:val="333333"/>
          <w:sz w:val="22"/>
          <w:szCs w:val="22"/>
        </w:rPr>
        <w:t xml:space="preserve">Plan crypto integration as core financial infrastructure for Gelephu Mindfulness City from day one</w:t>
      </w:r>
    </w:p>
    <w:p>
      <w:pPr>
        <w:pStyle w:val="ListParagraph"/>
        <w:numPr>
          <w:ilvl w:val="0"/>
          <w:numId w:val="2"/>
        </w:numPr>
        <w:spacing w:before="40" w:after="40"/>
      </w:pPr>
      <w:r>
        <w:rPr>
          <w:rFonts w:ascii="Arial" w:cs="Arial" w:eastAsia="Arial" w:hAnsi="Arial"/>
          <w:color w:val="333333"/>
          <w:sz w:val="22"/>
          <w:szCs w:val="22"/>
        </w:rPr>
        <w:t xml:space="preserve">Ensure inclusive design that accounts for varying digital literacy across all age groups</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11. Next Steps</w:t>
      </w:r>
    </w:p>
    <w:p>
      <w:pPr>
        <w:pStyle w:val="ListParagraph"/>
        <w:numPr>
          <w:ilvl w:val="0"/>
          <w:numId w:val="2"/>
        </w:numPr>
        <w:spacing w:before="40" w:after="40"/>
      </w:pPr>
      <w:r>
        <w:rPr>
          <w:rFonts w:ascii="Arial" w:cs="Arial" w:eastAsia="Arial" w:hAnsi="Arial"/>
          <w:color w:val="333333"/>
          <w:sz w:val="22"/>
          <w:szCs w:val="22"/>
        </w:rPr>
        <w:t xml:space="preserve">Expand survey coverage to more rural areas and wider age ranges for more representative data</w:t>
      </w:r>
    </w:p>
    <w:p>
      <w:pPr>
        <w:pStyle w:val="ListParagraph"/>
        <w:numPr>
          <w:ilvl w:val="0"/>
          <w:numId w:val="2"/>
        </w:numPr>
        <w:spacing w:before="40" w:after="40"/>
      </w:pPr>
      <w:r>
        <w:rPr>
          <w:rFonts w:ascii="Arial" w:cs="Arial" w:eastAsia="Arial" w:hAnsi="Arial"/>
          <w:color w:val="333333"/>
          <w:sz w:val="22"/>
          <w:szCs w:val="22"/>
        </w:rPr>
        <w:t xml:space="preserve">Complete all GNH story points in Tableau and publish the updated dashboard to Tableau Public</w:t>
      </w:r>
    </w:p>
    <w:p>
      <w:pPr>
        <w:pStyle w:val="ListParagraph"/>
        <w:numPr>
          <w:ilvl w:val="0"/>
          <w:numId w:val="2"/>
        </w:numPr>
        <w:spacing w:before="40" w:after="40"/>
      </w:pPr>
      <w:r>
        <w:rPr>
          <w:rFonts w:ascii="Arial" w:cs="Arial" w:eastAsia="Arial" w:hAnsi="Arial"/>
          <w:color w:val="333333"/>
          <w:sz w:val="22"/>
          <w:szCs w:val="22"/>
        </w:rPr>
        <w:t xml:space="preserve">Build a more comprehensive DrukShift website with downloadable report and recommendations page</w:t>
      </w:r>
    </w:p>
    <w:p>
      <w:pPr>
        <w:pStyle w:val="ListParagraph"/>
        <w:numPr>
          <w:ilvl w:val="0"/>
          <w:numId w:val="2"/>
        </w:numPr>
        <w:spacing w:before="40" w:after="40"/>
      </w:pPr>
      <w:r>
        <w:rPr>
          <w:rFonts w:ascii="Arial" w:cs="Arial" w:eastAsia="Arial" w:hAnsi="Arial"/>
          <w:color w:val="333333"/>
          <w:sz w:val="22"/>
          <w:szCs w:val="22"/>
        </w:rPr>
        <w:t xml:space="preserve">Present findings to sir and incorporate feedback into the final internship report</w:t>
      </w:r>
    </w:p>
    <w:p>
      <w:pPr>
        <w:pStyle w:val="ListParagraph"/>
        <w:numPr>
          <w:ilvl w:val="0"/>
          <w:numId w:val="2"/>
        </w:numPr>
        <w:spacing w:before="40" w:after="40"/>
      </w:pPr>
      <w:r>
        <w:rPr>
          <w:rFonts w:ascii="Arial" w:cs="Arial" w:eastAsia="Arial" w:hAnsi="Arial"/>
          <w:color w:val="333333"/>
          <w:sz w:val="22"/>
          <w:szCs w:val="22"/>
        </w:rPr>
        <w:t xml:space="preserve">Explore phase two analysis — segmenting findings by occupation and income level</w:t>
      </w:r>
    </w:p>
    <w:p>
      <w:pPr>
        <w:spacing w:before="60" w:after="60"/>
      </w:pPr>
      <w:r>
        <w:t xml:space="preserve"/>
      </w:r>
    </w:p>
    <w:p>
      <w:pPr>
        <w:pStyle w:val="Heading1"/>
        <w:pBdr>
          <w:bottom w:val="single" w:color="1F4E79" w:sz="6" w:space="1"/>
        </w:pBdr>
        <w:spacing w:before="360" w:after="120"/>
      </w:pPr>
      <w:r>
        <w:rPr>
          <w:rFonts w:ascii="Arial" w:cs="Arial" w:eastAsia="Arial" w:hAnsi="Arial"/>
          <w:b/>
          <w:bCs/>
          <w:color w:val="1F4E79"/>
          <w:sz w:val="32"/>
          <w:szCs w:val="32"/>
        </w:rPr>
        <w:t xml:space="preserve">12. Conclusion</w:t>
      </w:r>
    </w:p>
    <w:p>
      <w:pPr>
        <w:spacing w:before="80" w:after="80"/>
        <w:jc w:val="both"/>
      </w:pPr>
      <w:r>
        <w:rPr>
          <w:rFonts w:ascii="Arial" w:cs="Arial" w:eastAsia="Arial" w:hAnsi="Arial"/>
          <w:color w:val="333333"/>
          <w:sz w:val="22"/>
          <w:szCs w:val="22"/>
        </w:rPr>
        <w:t xml:space="preserve">Bhutan shows promising cryptocurrency readiness that aligns naturally with GNH values. With an average readiness score of 12.75 out of 16, Bhutan is approximately 80% ready for digital finance adoption. The core finding is clear — readiness is not just about having the technology available. It is about trust, education, governance and community confidence.</w:t>
      </w:r>
    </w:p>
    <w:p>
      <w:pPr>
        <w:spacing w:before="60" w:after="60"/>
      </w:pPr>
      <w:r>
        <w:t xml:space="preserve"/>
      </w:r>
    </w:p>
    <w:p>
      <w:pPr>
        <w:spacing w:before="80" w:after="80"/>
        <w:jc w:val="both"/>
      </w:pPr>
      <w:r>
        <w:rPr>
          <w:rFonts w:ascii="Arial" w:cs="Arial" w:eastAsia="Arial" w:hAnsi="Arial"/>
          <w:color w:val="333333"/>
          <w:sz w:val="22"/>
          <w:szCs w:val="22"/>
        </w:rPr>
        <w:t xml:space="preserve">The remaining 20% is not a technology gap — it is a human gap. Any business or government body looking to introduce cryptocurrency in Bhutan must invest equally in people as in technology. Bhutan's unique GNH framework provides the perfect guide for doing this right.</w:t>
      </w:r>
    </w:p>
    <w:p>
      <w:pPr>
        <w:spacing w:before="60" w:after="60"/>
      </w:pPr>
      <w:r>
        <w:t xml:space="preserve"/>
      </w:r>
    </w:p>
    <w:p>
      <w:pPr>
        <w:pBdr>
          <w:left w:val="single" w:color="F4A261" w:sz="12" w:space="4"/>
        </w:pBdr>
        <w:spacing w:before="120" w:after="120"/>
        <w:ind w:left="720"/>
        <w:jc w:val="center"/>
      </w:pPr>
      <w:r>
        <w:rPr>
          <w:rFonts w:ascii="Arial" w:cs="Arial" w:eastAsia="Arial" w:hAnsi="Arial"/>
          <w:b/>
          <w:bCs/>
          <w:i/>
          <w:iCs/>
          <w:color w:val="1F4E79"/>
          <w:sz w:val="24"/>
          <w:szCs w:val="24"/>
        </w:rPr>
        <w:t xml:space="preserve">Bhutan did not get this far by rushing progress. We got here by making sure progress serves happiness. Cryptocurrency should be no different.</w:t>
      </w:r>
    </w:p>
    <w:p>
      <w:pPr>
        <w:spacing w:before="60" w:after="60"/>
      </w:pPr>
      <w:r>
        <w:t xml:space="preserve"/>
      </w:r>
    </w:p>
    <w:p>
      <w:pPr>
        <w:spacing w:before="60" w:after="60"/>
      </w:pPr>
      <w:r>
        <w:t xml:space="preserve"/>
      </w:r>
    </w:p>
    <w:p>
      <w:pPr>
        <w:pBdr>
          <w:top w:val="single" w:color="2E75B6" w:sz="4" w:space="1"/>
        </w:pBdr>
        <w:spacing w:before="240"/>
        <w:jc w:val="center"/>
      </w:pPr>
      <w:r>
        <w:rPr>
          <w:rFonts w:ascii="Arial" w:cs="Arial" w:eastAsia="Arial" w:hAnsi="Arial"/>
          <w:color w:val="AAAAAA"/>
          <w:sz w:val="20"/>
          <w:szCs w:val="20"/>
        </w:rPr>
        <w:t xml:space="preserve">Kinzang Choden  |  BDS Internship 2026  |  Bhutan Data Scientists Pvt. Ltd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Kinzang Choden  |  Bhutan Data Scientists Pvt. Ltd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DrukShift  |  Cryptocurrency Readiness in Bhutan  |  BDS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2026-03-16T08:43:00.889Z</dcterms:created>
  <dcterms:modified xsi:type="dcterms:W3CDTF">2026-03-16T08:43:00.889Z</dcterms:modified>
</cp:coreProperties>
</file>

<file path=docProps/custom.xml><?xml version="1.0" encoding="utf-8"?>
<Properties xmlns="http://schemas.openxmlformats.org/officeDocument/2006/custom-properties" xmlns:vt="http://schemas.openxmlformats.org/officeDocument/2006/docPropsVTypes"/>
</file>