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B524" w14:textId="77777777" w:rsidR="008D2DD3" w:rsidRPr="0028655D" w:rsidRDefault="00000000">
      <w:pPr>
        <w:jc w:val="center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  <w:b/>
          <w:sz w:val="36"/>
        </w:rPr>
        <w:t>HealthConnect</w:t>
      </w:r>
      <w:r w:rsidRPr="0028655D">
        <w:rPr>
          <w:rFonts w:ascii="Times New Roman" w:hAnsi="Times New Roman" w:cs="Times New Roman"/>
          <w:b/>
          <w:sz w:val="36"/>
        </w:rPr>
        <w:br/>
        <w:t>Week 6: Advanced Analytics &amp; Decision Support</w:t>
      </w:r>
    </w:p>
    <w:p w14:paraId="0578F5CE" w14:textId="77777777" w:rsidR="008D2DD3" w:rsidRPr="0028655D" w:rsidRDefault="00000000">
      <w:pPr>
        <w:jc w:val="center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  <w:i/>
        </w:rPr>
        <w:t>Data Analytics Track</w:t>
      </w:r>
    </w:p>
    <w:p w14:paraId="0C7A9D81" w14:textId="79221266" w:rsidR="008D2DD3" w:rsidRPr="0028655D" w:rsidRDefault="00000000">
      <w:pPr>
        <w:pStyle w:val="Heading1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 xml:space="preserve">Week 5 </w:t>
      </w:r>
      <w:r w:rsidR="002C6FA9" w:rsidRPr="0028655D">
        <w:rPr>
          <w:rFonts w:ascii="Times New Roman" w:hAnsi="Times New Roman" w:cs="Times New Roman"/>
        </w:rPr>
        <w:t>-</w:t>
      </w:r>
      <w:r w:rsidRPr="0028655D">
        <w:rPr>
          <w:rFonts w:ascii="Times New Roman" w:hAnsi="Times New Roman" w:cs="Times New Roman"/>
        </w:rPr>
        <w:t xml:space="preserve"> Week 6 Transition</w:t>
      </w:r>
    </w:p>
    <w:p w14:paraId="56F92425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Week 5 produced the HealthConnect Appointment Attendance &amp; No-Show Insights dashboard, supported by data preparation, exploratory analysis, KPI development and business recommendations. Week 6 extends this work by investigating interactions among important Week 5 findings, validating the main KPIs, translating findings into decision support, and preparing analytical outputs for cross-track use.</w:t>
      </w:r>
    </w:p>
    <w:p w14:paraId="2EEC87D1" w14:textId="0E0A3F0C" w:rsidR="008D2DD3" w:rsidRPr="0028655D" w:rsidRDefault="00000000">
      <w:pPr>
        <w:pStyle w:val="Heading1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Week 6 Objectives</w:t>
      </w:r>
    </w:p>
    <w:p w14:paraId="432337BD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Investigate previous no-shows × reminders.</w:t>
      </w:r>
    </w:p>
    <w:p w14:paraId="391E2D32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Investigate booking lead time × previous no-shows.</w:t>
      </w:r>
    </w:p>
    <w:p w14:paraId="55B8A158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Examine distance × previous no-shows × reminder status.</w:t>
      </w:r>
    </w:p>
    <w:p w14:paraId="27128011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Validate important Week 5 KPIs and conclusions.</w:t>
      </w:r>
    </w:p>
    <w:p w14:paraId="0BC7D084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Identify high-impact findings and translate them into actions.</w:t>
      </w:r>
    </w:p>
    <w:p w14:paraId="0B96FE3F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Provide analytical findings for Data Science modelling decisions.</w:t>
      </w:r>
    </w:p>
    <w:p w14:paraId="3AA46365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Improve the existing dashboard with a decision-support focus.</w:t>
      </w:r>
    </w:p>
    <w:p w14:paraId="4F85EF7C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Document limitations, decisions and the proposed Week 7 focus.</w:t>
      </w:r>
    </w:p>
    <w:p w14:paraId="6041410F" w14:textId="7EDCB2B7" w:rsidR="008D2DD3" w:rsidRPr="0028655D" w:rsidRDefault="00000000">
      <w:pPr>
        <w:pStyle w:val="Heading1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Advanced Analysis</w:t>
      </w:r>
    </w:p>
    <w:p w14:paraId="4269D48F" w14:textId="755E119E" w:rsidR="008D2DD3" w:rsidRPr="0028655D" w:rsidRDefault="00000000">
      <w:pPr>
        <w:pStyle w:val="Heading2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Previous No-Shows × Reminder Status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D2DD3" w:rsidRPr="0028655D" w14:paraId="5B0C1B1B" w14:textId="77777777">
        <w:trPr>
          <w:jc w:val="center"/>
        </w:trPr>
        <w:tc>
          <w:tcPr>
            <w:tcW w:w="2160" w:type="dxa"/>
          </w:tcPr>
          <w:p w14:paraId="710C524E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Previous no-shows</w:t>
            </w:r>
          </w:p>
        </w:tc>
        <w:tc>
          <w:tcPr>
            <w:tcW w:w="2160" w:type="dxa"/>
          </w:tcPr>
          <w:p w14:paraId="00BE6ACF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No reminder</w:t>
            </w:r>
          </w:p>
        </w:tc>
        <w:tc>
          <w:tcPr>
            <w:tcW w:w="2160" w:type="dxa"/>
          </w:tcPr>
          <w:p w14:paraId="24142D0A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Reminder sent</w:t>
            </w:r>
          </w:p>
        </w:tc>
        <w:tc>
          <w:tcPr>
            <w:tcW w:w="2160" w:type="dxa"/>
          </w:tcPr>
          <w:p w14:paraId="3510A80F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Difference</w:t>
            </w:r>
          </w:p>
        </w:tc>
      </w:tr>
      <w:tr w:rsidR="008D2DD3" w:rsidRPr="0028655D" w14:paraId="40473A69" w14:textId="77777777">
        <w:trPr>
          <w:jc w:val="center"/>
        </w:trPr>
        <w:tc>
          <w:tcPr>
            <w:tcW w:w="2160" w:type="dxa"/>
          </w:tcPr>
          <w:p w14:paraId="7A78C039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60" w:type="dxa"/>
          </w:tcPr>
          <w:p w14:paraId="057331F6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45.44%</w:t>
            </w:r>
          </w:p>
        </w:tc>
        <w:tc>
          <w:tcPr>
            <w:tcW w:w="2160" w:type="dxa"/>
          </w:tcPr>
          <w:p w14:paraId="2F506988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42.80%</w:t>
            </w:r>
          </w:p>
        </w:tc>
        <w:tc>
          <w:tcPr>
            <w:tcW w:w="2160" w:type="dxa"/>
          </w:tcPr>
          <w:p w14:paraId="3AED64F7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2.64 pp</w:t>
            </w:r>
          </w:p>
        </w:tc>
      </w:tr>
      <w:tr w:rsidR="008D2DD3" w:rsidRPr="0028655D" w14:paraId="4A0AE834" w14:textId="77777777">
        <w:trPr>
          <w:jc w:val="center"/>
        </w:trPr>
        <w:tc>
          <w:tcPr>
            <w:tcW w:w="2160" w:type="dxa"/>
          </w:tcPr>
          <w:p w14:paraId="0798B074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07B6119C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56.54%</w:t>
            </w:r>
          </w:p>
        </w:tc>
        <w:tc>
          <w:tcPr>
            <w:tcW w:w="2160" w:type="dxa"/>
          </w:tcPr>
          <w:p w14:paraId="6ECE3B60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52.32%</w:t>
            </w:r>
          </w:p>
        </w:tc>
        <w:tc>
          <w:tcPr>
            <w:tcW w:w="2160" w:type="dxa"/>
          </w:tcPr>
          <w:p w14:paraId="78C8CA6E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4.22 pp</w:t>
            </w:r>
          </w:p>
        </w:tc>
      </w:tr>
      <w:tr w:rsidR="008D2DD3" w:rsidRPr="0028655D" w14:paraId="7B4656B8" w14:textId="77777777">
        <w:trPr>
          <w:jc w:val="center"/>
        </w:trPr>
        <w:tc>
          <w:tcPr>
            <w:tcW w:w="2160" w:type="dxa"/>
          </w:tcPr>
          <w:p w14:paraId="1F7AF1AD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0" w:type="dxa"/>
          </w:tcPr>
          <w:p w14:paraId="4A964B12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66.67%</w:t>
            </w:r>
          </w:p>
        </w:tc>
        <w:tc>
          <w:tcPr>
            <w:tcW w:w="2160" w:type="dxa"/>
          </w:tcPr>
          <w:p w14:paraId="02CAC77C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56.51%</w:t>
            </w:r>
          </w:p>
        </w:tc>
        <w:tc>
          <w:tcPr>
            <w:tcW w:w="2160" w:type="dxa"/>
          </w:tcPr>
          <w:p w14:paraId="3853A0A3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10.16 pp</w:t>
            </w:r>
          </w:p>
        </w:tc>
      </w:tr>
      <w:tr w:rsidR="008D2DD3" w:rsidRPr="0028655D" w14:paraId="19D541D9" w14:textId="77777777">
        <w:trPr>
          <w:jc w:val="center"/>
        </w:trPr>
        <w:tc>
          <w:tcPr>
            <w:tcW w:w="2160" w:type="dxa"/>
          </w:tcPr>
          <w:p w14:paraId="5479C8F4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0" w:type="dxa"/>
          </w:tcPr>
          <w:p w14:paraId="5F1F1912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70.00%</w:t>
            </w:r>
          </w:p>
        </w:tc>
        <w:tc>
          <w:tcPr>
            <w:tcW w:w="2160" w:type="dxa"/>
          </w:tcPr>
          <w:p w14:paraId="4711BEFA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67.24%</w:t>
            </w:r>
          </w:p>
        </w:tc>
        <w:tc>
          <w:tcPr>
            <w:tcW w:w="2160" w:type="dxa"/>
          </w:tcPr>
          <w:p w14:paraId="0ED844D4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2.76 pp</w:t>
            </w:r>
          </w:p>
        </w:tc>
      </w:tr>
      <w:tr w:rsidR="008D2DD3" w:rsidRPr="0028655D" w14:paraId="29E209DC" w14:textId="77777777">
        <w:trPr>
          <w:jc w:val="center"/>
        </w:trPr>
        <w:tc>
          <w:tcPr>
            <w:tcW w:w="2160" w:type="dxa"/>
          </w:tcPr>
          <w:p w14:paraId="254BEA97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0" w:type="dxa"/>
          </w:tcPr>
          <w:p w14:paraId="6C7364A4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100.00%</w:t>
            </w:r>
          </w:p>
        </w:tc>
        <w:tc>
          <w:tcPr>
            <w:tcW w:w="2160" w:type="dxa"/>
          </w:tcPr>
          <w:p w14:paraId="21E8D3DA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42.86%</w:t>
            </w:r>
          </w:p>
        </w:tc>
        <w:tc>
          <w:tcPr>
            <w:tcW w:w="2160" w:type="dxa"/>
          </w:tcPr>
          <w:p w14:paraId="7C1417CD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57.14 pp*</w:t>
            </w:r>
          </w:p>
        </w:tc>
      </w:tr>
      <w:tr w:rsidR="008D2DD3" w:rsidRPr="0028655D" w14:paraId="6A5CFB6B" w14:textId="77777777">
        <w:trPr>
          <w:jc w:val="center"/>
        </w:trPr>
        <w:tc>
          <w:tcPr>
            <w:tcW w:w="2160" w:type="dxa"/>
          </w:tcPr>
          <w:p w14:paraId="5FA11676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60" w:type="dxa"/>
          </w:tcPr>
          <w:p w14:paraId="41E78907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60" w:type="dxa"/>
          </w:tcPr>
          <w:p w14:paraId="6A80BB6A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100.00%</w:t>
            </w:r>
          </w:p>
        </w:tc>
        <w:tc>
          <w:tcPr>
            <w:tcW w:w="2160" w:type="dxa"/>
          </w:tcPr>
          <w:p w14:paraId="67A2C498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0C262FE9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  <w:b/>
          <w:bCs/>
        </w:rPr>
        <w:t>Finding</w:t>
      </w:r>
      <w:r w:rsidRPr="0028655D">
        <w:rPr>
          <w:rFonts w:ascii="Times New Roman" w:hAnsi="Times New Roman" w:cs="Times New Roman"/>
        </w:rPr>
        <w:t>: Patients with previous no-shows generally had higher current no-show rates. At comparable risk levels, patients receiving reminders generally had lower no-show rates. The difference at 2 previous no-shows was 10.16 percentage points. The 57.14-point difference at 4 previous no-shows should be treated cautiously because the underlying group may be small.</w:t>
      </w:r>
    </w:p>
    <w:p w14:paraId="3008B0AC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  <w:b/>
          <w:bCs/>
        </w:rPr>
        <w:lastRenderedPageBreak/>
        <w:t>Business implication:</w:t>
      </w:r>
      <w:r w:rsidRPr="0028655D">
        <w:rPr>
          <w:rFonts w:ascii="Times New Roman" w:hAnsi="Times New Roman" w:cs="Times New Roman"/>
        </w:rPr>
        <w:t xml:space="preserve"> Previous no-shows can be used as a practical attendance-risk indicator.</w:t>
      </w:r>
    </w:p>
    <w:p w14:paraId="586E84B5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  <w:b/>
          <w:bCs/>
        </w:rPr>
        <w:t>Recommended action</w:t>
      </w:r>
      <w:r w:rsidRPr="0028655D">
        <w:rPr>
          <w:rFonts w:ascii="Times New Roman" w:hAnsi="Times New Roman" w:cs="Times New Roman"/>
        </w:rPr>
        <w:t>: Prioritise patients with a history of previous no-shows for stronger or more targeted reminder and confirmation interventions.</w:t>
      </w:r>
    </w:p>
    <w:p w14:paraId="22E605DF" w14:textId="19E3ECA4" w:rsidR="008D2DD3" w:rsidRPr="0028655D" w:rsidRDefault="00000000">
      <w:pPr>
        <w:pStyle w:val="Heading2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Booking Lead Time × Previous No-Shows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8D2DD3" w:rsidRPr="0028655D" w14:paraId="5A412215" w14:textId="77777777">
        <w:trPr>
          <w:jc w:val="center"/>
        </w:trPr>
        <w:tc>
          <w:tcPr>
            <w:tcW w:w="1080" w:type="dxa"/>
          </w:tcPr>
          <w:p w14:paraId="6D7C07FD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Lead-time bin</w:t>
            </w:r>
          </w:p>
        </w:tc>
        <w:tc>
          <w:tcPr>
            <w:tcW w:w="1080" w:type="dxa"/>
          </w:tcPr>
          <w:p w14:paraId="4A4B55CB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14:paraId="47272157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14:paraId="4336E338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80" w:type="dxa"/>
          </w:tcPr>
          <w:p w14:paraId="2BB7A24D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0" w:type="dxa"/>
          </w:tcPr>
          <w:p w14:paraId="3EDA3E56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80" w:type="dxa"/>
          </w:tcPr>
          <w:p w14:paraId="55964554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80" w:type="dxa"/>
          </w:tcPr>
          <w:p w14:paraId="00EE8A6D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Total</w:t>
            </w:r>
          </w:p>
        </w:tc>
      </w:tr>
      <w:tr w:rsidR="008D2DD3" w:rsidRPr="0028655D" w14:paraId="61EB2523" w14:textId="77777777">
        <w:trPr>
          <w:jc w:val="center"/>
        </w:trPr>
        <w:tc>
          <w:tcPr>
            <w:tcW w:w="1080" w:type="dxa"/>
          </w:tcPr>
          <w:p w14:paraId="0FC55919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14:paraId="20F7CE61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26.74%</w:t>
            </w:r>
          </w:p>
        </w:tc>
        <w:tc>
          <w:tcPr>
            <w:tcW w:w="1080" w:type="dxa"/>
          </w:tcPr>
          <w:p w14:paraId="5DB51EDA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32.56%</w:t>
            </w:r>
          </w:p>
        </w:tc>
        <w:tc>
          <w:tcPr>
            <w:tcW w:w="1080" w:type="dxa"/>
          </w:tcPr>
          <w:p w14:paraId="086D7335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47.54%</w:t>
            </w:r>
          </w:p>
        </w:tc>
        <w:tc>
          <w:tcPr>
            <w:tcW w:w="1080" w:type="dxa"/>
          </w:tcPr>
          <w:p w14:paraId="69E95BD8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31.82%</w:t>
            </w:r>
          </w:p>
        </w:tc>
        <w:tc>
          <w:tcPr>
            <w:tcW w:w="1080" w:type="dxa"/>
          </w:tcPr>
          <w:p w14:paraId="38755206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50.00%</w:t>
            </w:r>
          </w:p>
        </w:tc>
        <w:tc>
          <w:tcPr>
            <w:tcW w:w="1080" w:type="dxa"/>
          </w:tcPr>
          <w:p w14:paraId="07D880E2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100.00%</w:t>
            </w:r>
          </w:p>
        </w:tc>
        <w:tc>
          <w:tcPr>
            <w:tcW w:w="1080" w:type="dxa"/>
          </w:tcPr>
          <w:p w14:paraId="17D50345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30.60%</w:t>
            </w:r>
          </w:p>
        </w:tc>
      </w:tr>
      <w:tr w:rsidR="008D2DD3" w:rsidRPr="0028655D" w14:paraId="5F47945D" w14:textId="77777777">
        <w:trPr>
          <w:jc w:val="center"/>
        </w:trPr>
        <w:tc>
          <w:tcPr>
            <w:tcW w:w="1080" w:type="dxa"/>
          </w:tcPr>
          <w:p w14:paraId="14FC9CF7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080" w:type="dxa"/>
          </w:tcPr>
          <w:p w14:paraId="3A1E5CC3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37.94%</w:t>
            </w:r>
          </w:p>
        </w:tc>
        <w:tc>
          <w:tcPr>
            <w:tcW w:w="1080" w:type="dxa"/>
          </w:tcPr>
          <w:p w14:paraId="39D9850C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47.37%</w:t>
            </w:r>
          </w:p>
        </w:tc>
        <w:tc>
          <w:tcPr>
            <w:tcW w:w="1080" w:type="dxa"/>
          </w:tcPr>
          <w:p w14:paraId="68D1FFE3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50.85%</w:t>
            </w:r>
          </w:p>
        </w:tc>
        <w:tc>
          <w:tcPr>
            <w:tcW w:w="1080" w:type="dxa"/>
          </w:tcPr>
          <w:p w14:paraId="5B52A232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85.00%</w:t>
            </w:r>
          </w:p>
        </w:tc>
        <w:tc>
          <w:tcPr>
            <w:tcW w:w="1080" w:type="dxa"/>
          </w:tcPr>
          <w:p w14:paraId="0C25463D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75.00%</w:t>
            </w:r>
          </w:p>
        </w:tc>
        <w:tc>
          <w:tcPr>
            <w:tcW w:w="1080" w:type="dxa"/>
          </w:tcPr>
          <w:p w14:paraId="0D043F1F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0" w:type="dxa"/>
          </w:tcPr>
          <w:p w14:paraId="76F63B23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43.04%</w:t>
            </w:r>
          </w:p>
        </w:tc>
      </w:tr>
      <w:tr w:rsidR="008D2DD3" w:rsidRPr="0028655D" w14:paraId="6CB015C5" w14:textId="77777777">
        <w:trPr>
          <w:jc w:val="center"/>
        </w:trPr>
        <w:tc>
          <w:tcPr>
            <w:tcW w:w="1080" w:type="dxa"/>
          </w:tcPr>
          <w:p w14:paraId="5813AE4B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080" w:type="dxa"/>
          </w:tcPr>
          <w:p w14:paraId="06124C6A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48.45%</w:t>
            </w:r>
          </w:p>
        </w:tc>
        <w:tc>
          <w:tcPr>
            <w:tcW w:w="1080" w:type="dxa"/>
          </w:tcPr>
          <w:p w14:paraId="070A37D5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58.25%</w:t>
            </w:r>
          </w:p>
        </w:tc>
        <w:tc>
          <w:tcPr>
            <w:tcW w:w="1080" w:type="dxa"/>
          </w:tcPr>
          <w:p w14:paraId="2E0C9822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62.11%</w:t>
            </w:r>
          </w:p>
        </w:tc>
        <w:tc>
          <w:tcPr>
            <w:tcW w:w="1080" w:type="dxa"/>
          </w:tcPr>
          <w:p w14:paraId="34351B35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66.67%</w:t>
            </w:r>
          </w:p>
        </w:tc>
        <w:tc>
          <w:tcPr>
            <w:tcW w:w="1080" w:type="dxa"/>
          </w:tcPr>
          <w:p w14:paraId="74618556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33.33%</w:t>
            </w:r>
          </w:p>
        </w:tc>
        <w:tc>
          <w:tcPr>
            <w:tcW w:w="1080" w:type="dxa"/>
          </w:tcPr>
          <w:p w14:paraId="5C452036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100.00%</w:t>
            </w:r>
          </w:p>
        </w:tc>
        <w:tc>
          <w:tcPr>
            <w:tcW w:w="1080" w:type="dxa"/>
          </w:tcPr>
          <w:p w14:paraId="62F1AE14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52.82%</w:t>
            </w:r>
          </w:p>
        </w:tc>
      </w:tr>
      <w:tr w:rsidR="008D2DD3" w:rsidRPr="0028655D" w14:paraId="08F0971A" w14:textId="77777777">
        <w:trPr>
          <w:jc w:val="center"/>
        </w:trPr>
        <w:tc>
          <w:tcPr>
            <w:tcW w:w="1080" w:type="dxa"/>
          </w:tcPr>
          <w:p w14:paraId="3A4024F9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080" w:type="dxa"/>
          </w:tcPr>
          <w:p w14:paraId="49D7286B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61.04%</w:t>
            </w:r>
          </w:p>
        </w:tc>
        <w:tc>
          <w:tcPr>
            <w:tcW w:w="1080" w:type="dxa"/>
          </w:tcPr>
          <w:p w14:paraId="5E36610B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12.95%</w:t>
            </w:r>
          </w:p>
        </w:tc>
        <w:tc>
          <w:tcPr>
            <w:tcW w:w="1080" w:type="dxa"/>
          </w:tcPr>
          <w:p w14:paraId="6735CA78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81.63%</w:t>
            </w:r>
          </w:p>
        </w:tc>
        <w:tc>
          <w:tcPr>
            <w:tcW w:w="1080" w:type="dxa"/>
          </w:tcPr>
          <w:p w14:paraId="15A557E1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89.47%</w:t>
            </w:r>
          </w:p>
        </w:tc>
        <w:tc>
          <w:tcPr>
            <w:tcW w:w="1080" w:type="dxa"/>
          </w:tcPr>
          <w:p w14:paraId="03291701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100.00%</w:t>
            </w:r>
          </w:p>
        </w:tc>
        <w:tc>
          <w:tcPr>
            <w:tcW w:w="1080" w:type="dxa"/>
          </w:tcPr>
          <w:p w14:paraId="5A6420AF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100.00%</w:t>
            </w:r>
          </w:p>
        </w:tc>
        <w:tc>
          <w:tcPr>
            <w:tcW w:w="1080" w:type="dxa"/>
          </w:tcPr>
          <w:p w14:paraId="4E46B091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67.16%</w:t>
            </w:r>
          </w:p>
        </w:tc>
      </w:tr>
      <w:tr w:rsidR="008D2DD3" w:rsidRPr="0028655D" w14:paraId="7E1DE8EB" w14:textId="77777777">
        <w:trPr>
          <w:jc w:val="center"/>
        </w:trPr>
        <w:tc>
          <w:tcPr>
            <w:tcW w:w="1080" w:type="dxa"/>
          </w:tcPr>
          <w:p w14:paraId="10E16D8E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80" w:type="dxa"/>
          </w:tcPr>
          <w:p w14:paraId="3334A166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64.71%</w:t>
            </w:r>
          </w:p>
        </w:tc>
        <w:tc>
          <w:tcPr>
            <w:tcW w:w="1080" w:type="dxa"/>
          </w:tcPr>
          <w:p w14:paraId="0520A478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72.22%</w:t>
            </w:r>
          </w:p>
        </w:tc>
        <w:tc>
          <w:tcPr>
            <w:tcW w:w="1080" w:type="dxa"/>
          </w:tcPr>
          <w:p w14:paraId="50523DF9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60.00%</w:t>
            </w:r>
          </w:p>
        </w:tc>
        <w:tc>
          <w:tcPr>
            <w:tcW w:w="1080" w:type="dxa"/>
          </w:tcPr>
          <w:p w14:paraId="7E206400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100.00%</w:t>
            </w:r>
          </w:p>
        </w:tc>
        <w:tc>
          <w:tcPr>
            <w:tcW w:w="1080" w:type="dxa"/>
          </w:tcPr>
          <w:p w14:paraId="3BA95F71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0" w:type="dxa"/>
          </w:tcPr>
          <w:p w14:paraId="6BBF4D3C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0" w:type="dxa"/>
          </w:tcPr>
          <w:p w14:paraId="2502F92D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68.09%</w:t>
            </w:r>
          </w:p>
        </w:tc>
      </w:tr>
    </w:tbl>
    <w:p w14:paraId="5C7D7AB4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  <w:b/>
          <w:bCs/>
        </w:rPr>
        <w:t>Finding</w:t>
      </w:r>
      <w:r w:rsidRPr="0028655D">
        <w:rPr>
          <w:rFonts w:ascii="Times New Roman" w:hAnsi="Times New Roman" w:cs="Times New Roman"/>
        </w:rPr>
        <w:t>: Total no-show rate increased from 30.60% for the shortest lead-time group to 67.16% for 45–60 days and 68.09% for 60+ days. Total no-show rates also generally increased with previous no-shows. Individual cells should be interpreted cautiously where group sizes may be small.</w:t>
      </w:r>
    </w:p>
    <w:p w14:paraId="54D924A1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  <w:b/>
          <w:bCs/>
        </w:rPr>
        <w:t>Business implication</w:t>
      </w:r>
      <w:r w:rsidRPr="0028655D">
        <w:rPr>
          <w:rFonts w:ascii="Times New Roman" w:hAnsi="Times New Roman" w:cs="Times New Roman"/>
        </w:rPr>
        <w:t>: Long-lead appointments, particularly for patients with previous no-shows, represent a potentially higher-risk segment.</w:t>
      </w:r>
    </w:p>
    <w:p w14:paraId="295F1B24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  <w:b/>
          <w:bCs/>
        </w:rPr>
        <w:t>Recommended action</w:t>
      </w:r>
      <w:r w:rsidRPr="0028655D">
        <w:rPr>
          <w:rFonts w:ascii="Times New Roman" w:hAnsi="Times New Roman" w:cs="Times New Roman"/>
        </w:rPr>
        <w:t>: Consider additional confirmation/reminder interventions for appointments booked far in advance, with greater attention to patients who have previously missed appointments.</w:t>
      </w:r>
    </w:p>
    <w:p w14:paraId="40A10813" w14:textId="5796FFB8" w:rsidR="008D2DD3" w:rsidRPr="0028655D" w:rsidRDefault="00000000">
      <w:pPr>
        <w:pStyle w:val="Heading2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Distance × Previous No-Shows × Reminder Status</w:t>
      </w:r>
    </w:p>
    <w:p w14:paraId="7CBF8C21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Two Power BI matrices were used with distance in 5-km bins as rows, previous_no_shows as columns, No-Show Rate as values, and reminder_sent filtered separately to No and Yes.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2DD3" w:rsidRPr="0028655D" w14:paraId="788672C0" w14:textId="77777777">
        <w:trPr>
          <w:jc w:val="center"/>
        </w:trPr>
        <w:tc>
          <w:tcPr>
            <w:tcW w:w="2880" w:type="dxa"/>
          </w:tcPr>
          <w:p w14:paraId="5B6FB5EA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Distance bin</w:t>
            </w:r>
          </w:p>
        </w:tc>
        <w:tc>
          <w:tcPr>
            <w:tcW w:w="2880" w:type="dxa"/>
          </w:tcPr>
          <w:p w14:paraId="67A2A972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No reminder</w:t>
            </w:r>
          </w:p>
        </w:tc>
        <w:tc>
          <w:tcPr>
            <w:tcW w:w="2880" w:type="dxa"/>
          </w:tcPr>
          <w:p w14:paraId="664B79A4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Reminder sent</w:t>
            </w:r>
          </w:p>
        </w:tc>
      </w:tr>
      <w:tr w:rsidR="008D2DD3" w:rsidRPr="0028655D" w14:paraId="477B1B7F" w14:textId="77777777">
        <w:trPr>
          <w:jc w:val="center"/>
        </w:trPr>
        <w:tc>
          <w:tcPr>
            <w:tcW w:w="2880" w:type="dxa"/>
          </w:tcPr>
          <w:p w14:paraId="58ED1859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0–5 km</w:t>
            </w:r>
          </w:p>
        </w:tc>
        <w:tc>
          <w:tcPr>
            <w:tcW w:w="2880" w:type="dxa"/>
          </w:tcPr>
          <w:p w14:paraId="1ACBFE0D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46.71%</w:t>
            </w:r>
          </w:p>
        </w:tc>
        <w:tc>
          <w:tcPr>
            <w:tcW w:w="2880" w:type="dxa"/>
          </w:tcPr>
          <w:p w14:paraId="1EDE0BE5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46.40%</w:t>
            </w:r>
          </w:p>
        </w:tc>
      </w:tr>
      <w:tr w:rsidR="008D2DD3" w:rsidRPr="0028655D" w14:paraId="08E7A1A6" w14:textId="77777777">
        <w:trPr>
          <w:jc w:val="center"/>
        </w:trPr>
        <w:tc>
          <w:tcPr>
            <w:tcW w:w="2880" w:type="dxa"/>
          </w:tcPr>
          <w:p w14:paraId="58DA9FAB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5–10 km</w:t>
            </w:r>
          </w:p>
        </w:tc>
        <w:tc>
          <w:tcPr>
            <w:tcW w:w="2880" w:type="dxa"/>
          </w:tcPr>
          <w:p w14:paraId="562C365E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53.36%</w:t>
            </w:r>
          </w:p>
        </w:tc>
        <w:tc>
          <w:tcPr>
            <w:tcW w:w="2880" w:type="dxa"/>
          </w:tcPr>
          <w:p w14:paraId="792E866B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46.50%</w:t>
            </w:r>
          </w:p>
        </w:tc>
      </w:tr>
      <w:tr w:rsidR="008D2DD3" w:rsidRPr="0028655D" w14:paraId="6FA51EE1" w14:textId="77777777">
        <w:trPr>
          <w:jc w:val="center"/>
        </w:trPr>
        <w:tc>
          <w:tcPr>
            <w:tcW w:w="2880" w:type="dxa"/>
          </w:tcPr>
          <w:p w14:paraId="39310AA3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10–15 km</w:t>
            </w:r>
          </w:p>
        </w:tc>
        <w:tc>
          <w:tcPr>
            <w:tcW w:w="2880" w:type="dxa"/>
          </w:tcPr>
          <w:p w14:paraId="2971E4EF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49.69%</w:t>
            </w:r>
          </w:p>
        </w:tc>
        <w:tc>
          <w:tcPr>
            <w:tcW w:w="2880" w:type="dxa"/>
          </w:tcPr>
          <w:p w14:paraId="116876E0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48.39%</w:t>
            </w:r>
          </w:p>
        </w:tc>
      </w:tr>
      <w:tr w:rsidR="008D2DD3" w:rsidRPr="0028655D" w14:paraId="7E654C01" w14:textId="77777777">
        <w:trPr>
          <w:jc w:val="center"/>
        </w:trPr>
        <w:tc>
          <w:tcPr>
            <w:tcW w:w="2880" w:type="dxa"/>
          </w:tcPr>
          <w:p w14:paraId="2C9E7DB9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15–20 km</w:t>
            </w:r>
          </w:p>
        </w:tc>
        <w:tc>
          <w:tcPr>
            <w:tcW w:w="2880" w:type="dxa"/>
          </w:tcPr>
          <w:p w14:paraId="5749EFE8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53.90%</w:t>
            </w:r>
          </w:p>
        </w:tc>
        <w:tc>
          <w:tcPr>
            <w:tcW w:w="2880" w:type="dxa"/>
          </w:tcPr>
          <w:p w14:paraId="4A857EFB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51.82%</w:t>
            </w:r>
          </w:p>
        </w:tc>
      </w:tr>
      <w:tr w:rsidR="008D2DD3" w:rsidRPr="0028655D" w14:paraId="4A7DA02D" w14:textId="77777777">
        <w:trPr>
          <w:jc w:val="center"/>
        </w:trPr>
        <w:tc>
          <w:tcPr>
            <w:tcW w:w="2880" w:type="dxa"/>
          </w:tcPr>
          <w:p w14:paraId="0F21C6FD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20–25 km</w:t>
            </w:r>
          </w:p>
        </w:tc>
        <w:tc>
          <w:tcPr>
            <w:tcW w:w="2880" w:type="dxa"/>
          </w:tcPr>
          <w:p w14:paraId="1DDB9EDF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55.56%</w:t>
            </w:r>
          </w:p>
        </w:tc>
        <w:tc>
          <w:tcPr>
            <w:tcW w:w="2880" w:type="dxa"/>
          </w:tcPr>
          <w:p w14:paraId="0D6A8504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54.39%</w:t>
            </w:r>
          </w:p>
        </w:tc>
      </w:tr>
      <w:tr w:rsidR="008D2DD3" w:rsidRPr="0028655D" w14:paraId="47063D39" w14:textId="77777777">
        <w:trPr>
          <w:jc w:val="center"/>
        </w:trPr>
        <w:tc>
          <w:tcPr>
            <w:tcW w:w="2880" w:type="dxa"/>
          </w:tcPr>
          <w:p w14:paraId="5076C141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25–30 km</w:t>
            </w:r>
          </w:p>
        </w:tc>
        <w:tc>
          <w:tcPr>
            <w:tcW w:w="2880" w:type="dxa"/>
          </w:tcPr>
          <w:p w14:paraId="76E0AB75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62.96%</w:t>
            </w:r>
          </w:p>
        </w:tc>
        <w:tc>
          <w:tcPr>
            <w:tcW w:w="2880" w:type="dxa"/>
          </w:tcPr>
          <w:p w14:paraId="241EA755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55.79%</w:t>
            </w:r>
          </w:p>
        </w:tc>
      </w:tr>
      <w:tr w:rsidR="008D2DD3" w:rsidRPr="0028655D" w14:paraId="662E83C7" w14:textId="77777777">
        <w:trPr>
          <w:jc w:val="center"/>
        </w:trPr>
        <w:tc>
          <w:tcPr>
            <w:tcW w:w="2880" w:type="dxa"/>
          </w:tcPr>
          <w:p w14:paraId="55678946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30–35 km</w:t>
            </w:r>
          </w:p>
        </w:tc>
        <w:tc>
          <w:tcPr>
            <w:tcW w:w="2880" w:type="dxa"/>
          </w:tcPr>
          <w:p w14:paraId="000A2CE8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50.00%</w:t>
            </w:r>
          </w:p>
        </w:tc>
        <w:tc>
          <w:tcPr>
            <w:tcW w:w="2880" w:type="dxa"/>
          </w:tcPr>
          <w:p w14:paraId="21697808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73.91%</w:t>
            </w:r>
          </w:p>
        </w:tc>
      </w:tr>
      <w:tr w:rsidR="008D2DD3" w:rsidRPr="0028655D" w14:paraId="23E0822E" w14:textId="77777777">
        <w:trPr>
          <w:jc w:val="center"/>
        </w:trPr>
        <w:tc>
          <w:tcPr>
            <w:tcW w:w="2880" w:type="dxa"/>
          </w:tcPr>
          <w:p w14:paraId="21824B9A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35–40 km</w:t>
            </w:r>
          </w:p>
        </w:tc>
        <w:tc>
          <w:tcPr>
            <w:tcW w:w="2880" w:type="dxa"/>
          </w:tcPr>
          <w:p w14:paraId="1E9B1269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75.00%</w:t>
            </w:r>
          </w:p>
        </w:tc>
        <w:tc>
          <w:tcPr>
            <w:tcW w:w="2880" w:type="dxa"/>
          </w:tcPr>
          <w:p w14:paraId="3E1E1A37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65.00%</w:t>
            </w:r>
          </w:p>
        </w:tc>
      </w:tr>
      <w:tr w:rsidR="008D2DD3" w:rsidRPr="0028655D" w14:paraId="71456160" w14:textId="77777777">
        <w:trPr>
          <w:jc w:val="center"/>
        </w:trPr>
        <w:tc>
          <w:tcPr>
            <w:tcW w:w="2880" w:type="dxa"/>
          </w:tcPr>
          <w:p w14:paraId="76EEDC26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lastRenderedPageBreak/>
              <w:t>40–45 km</w:t>
            </w:r>
          </w:p>
        </w:tc>
        <w:tc>
          <w:tcPr>
            <w:tcW w:w="2880" w:type="dxa"/>
          </w:tcPr>
          <w:p w14:paraId="44809BE9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880" w:type="dxa"/>
          </w:tcPr>
          <w:p w14:paraId="14EA0819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66.67%</w:t>
            </w:r>
          </w:p>
        </w:tc>
      </w:tr>
      <w:tr w:rsidR="008D2DD3" w:rsidRPr="0028655D" w14:paraId="4C35BEEA" w14:textId="77777777">
        <w:trPr>
          <w:jc w:val="center"/>
        </w:trPr>
        <w:tc>
          <w:tcPr>
            <w:tcW w:w="2880" w:type="dxa"/>
          </w:tcPr>
          <w:p w14:paraId="0DB585DB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45–50 km</w:t>
            </w:r>
          </w:p>
        </w:tc>
        <w:tc>
          <w:tcPr>
            <w:tcW w:w="2880" w:type="dxa"/>
          </w:tcPr>
          <w:p w14:paraId="07DCDE48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880" w:type="dxa"/>
          </w:tcPr>
          <w:p w14:paraId="3F481AB7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33.33%</w:t>
            </w:r>
          </w:p>
        </w:tc>
      </w:tr>
    </w:tbl>
    <w:p w14:paraId="44E9E815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  <w:b/>
          <w:bCs/>
        </w:rPr>
        <w:t>Finding</w:t>
      </w:r>
      <w:r w:rsidRPr="0028655D">
        <w:rPr>
          <w:rFonts w:ascii="Times New Roman" w:hAnsi="Times New Roman" w:cs="Times New Roman"/>
        </w:rPr>
        <w:t>: Higher distance bands generally showed higher no-show rates, although the pattern fluctuated. Reminder recipients had lower or similar no-show rates in several distance bands. Extreme cells should be interpreted cautiously where segment sizes may be small.</w:t>
      </w:r>
    </w:p>
    <w:p w14:paraId="5C7935A2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  <w:b/>
          <w:bCs/>
        </w:rPr>
        <w:t>Business implication</w:t>
      </w:r>
      <w:r w:rsidRPr="0028655D">
        <w:rPr>
          <w:rFonts w:ascii="Times New Roman" w:hAnsi="Times New Roman" w:cs="Times New Roman"/>
        </w:rPr>
        <w:t>: Distance is a useful supporting risk indicator but is not directly controllable by HealthConnect.</w:t>
      </w:r>
    </w:p>
    <w:p w14:paraId="310B770C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  <w:b/>
          <w:bCs/>
        </w:rPr>
        <w:t>Recommended action:</w:t>
      </w:r>
      <w:r w:rsidRPr="0028655D">
        <w:rPr>
          <w:rFonts w:ascii="Times New Roman" w:hAnsi="Times New Roman" w:cs="Times New Roman"/>
        </w:rPr>
        <w:t xml:space="preserve"> Consider travel distance when prioritising attendance-support interventions such as reminder timing, confirmation and easier rescheduling.</w:t>
      </w:r>
    </w:p>
    <w:p w14:paraId="1FE2D01E" w14:textId="32896C1E" w:rsidR="008D2DD3" w:rsidRPr="0028655D" w:rsidRDefault="00000000">
      <w:pPr>
        <w:pStyle w:val="Heading1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Week 5 KPI Validation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2DD3" w:rsidRPr="0028655D" w14:paraId="11C9DE35" w14:textId="77777777">
        <w:trPr>
          <w:jc w:val="center"/>
        </w:trPr>
        <w:tc>
          <w:tcPr>
            <w:tcW w:w="2880" w:type="dxa"/>
          </w:tcPr>
          <w:p w14:paraId="5B56D0AF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KPI</w:t>
            </w:r>
          </w:p>
        </w:tc>
        <w:tc>
          <w:tcPr>
            <w:tcW w:w="2880" w:type="dxa"/>
          </w:tcPr>
          <w:p w14:paraId="2C90B5D9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Week 5 result</w:t>
            </w:r>
          </w:p>
        </w:tc>
        <w:tc>
          <w:tcPr>
            <w:tcW w:w="2880" w:type="dxa"/>
          </w:tcPr>
          <w:p w14:paraId="469D0B5E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Week 6 validation</w:t>
            </w:r>
          </w:p>
        </w:tc>
      </w:tr>
      <w:tr w:rsidR="008D2DD3" w:rsidRPr="0028655D" w14:paraId="2EBBC398" w14:textId="77777777">
        <w:trPr>
          <w:jc w:val="center"/>
        </w:trPr>
        <w:tc>
          <w:tcPr>
            <w:tcW w:w="2880" w:type="dxa"/>
          </w:tcPr>
          <w:p w14:paraId="085E4E8E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Overall No-Show Rate</w:t>
            </w:r>
          </w:p>
        </w:tc>
        <w:tc>
          <w:tcPr>
            <w:tcW w:w="2880" w:type="dxa"/>
          </w:tcPr>
          <w:p w14:paraId="24F85303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48.46%</w:t>
            </w:r>
          </w:p>
        </w:tc>
        <w:tc>
          <w:tcPr>
            <w:tcW w:w="2880" w:type="dxa"/>
          </w:tcPr>
          <w:p w14:paraId="6595611F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Remains a relevant baseline.</w:t>
            </w:r>
          </w:p>
        </w:tc>
      </w:tr>
      <w:tr w:rsidR="008D2DD3" w:rsidRPr="0028655D" w14:paraId="675E56B1" w14:textId="77777777">
        <w:trPr>
          <w:jc w:val="center"/>
        </w:trPr>
        <w:tc>
          <w:tcPr>
            <w:tcW w:w="2880" w:type="dxa"/>
          </w:tcPr>
          <w:p w14:paraId="744B762F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Attendance Rate</w:t>
            </w:r>
          </w:p>
        </w:tc>
        <w:tc>
          <w:tcPr>
            <w:tcW w:w="2880" w:type="dxa"/>
          </w:tcPr>
          <w:p w14:paraId="0E01CC5C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46.28%</w:t>
            </w:r>
          </w:p>
        </w:tc>
        <w:tc>
          <w:tcPr>
            <w:tcW w:w="2880" w:type="dxa"/>
          </w:tcPr>
          <w:p w14:paraId="76098C75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Remains a relevant baseline.</w:t>
            </w:r>
          </w:p>
        </w:tc>
      </w:tr>
      <w:tr w:rsidR="008D2DD3" w:rsidRPr="0028655D" w14:paraId="108C0778" w14:textId="77777777">
        <w:trPr>
          <w:jc w:val="center"/>
        </w:trPr>
        <w:tc>
          <w:tcPr>
            <w:tcW w:w="2880" w:type="dxa"/>
          </w:tcPr>
          <w:p w14:paraId="2930BD9D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Reminder Effectiveness</w:t>
            </w:r>
          </w:p>
        </w:tc>
        <w:tc>
          <w:tcPr>
            <w:tcW w:w="2880" w:type="dxa"/>
          </w:tcPr>
          <w:p w14:paraId="4DE6E66F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4.03 pp</w:t>
            </w:r>
          </w:p>
        </w:tc>
        <w:tc>
          <w:tcPr>
            <w:tcW w:w="2880" w:type="dxa"/>
          </w:tcPr>
          <w:p w14:paraId="2E230538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Deeper analysis supports the relevance of reminders, with variation by risk level.</w:t>
            </w:r>
          </w:p>
        </w:tc>
      </w:tr>
      <w:tr w:rsidR="008D2DD3" w:rsidRPr="0028655D" w14:paraId="3771F610" w14:textId="77777777">
        <w:trPr>
          <w:jc w:val="center"/>
        </w:trPr>
        <w:tc>
          <w:tcPr>
            <w:tcW w:w="2880" w:type="dxa"/>
          </w:tcPr>
          <w:p w14:paraId="67073D11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High-Risk No-Show Rate (2+)</w:t>
            </w:r>
          </w:p>
        </w:tc>
        <w:tc>
          <w:tcPr>
            <w:tcW w:w="2880" w:type="dxa"/>
          </w:tcPr>
          <w:p w14:paraId="1BBE910A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61.09%</w:t>
            </w:r>
          </w:p>
        </w:tc>
        <w:tc>
          <w:tcPr>
            <w:tcW w:w="2880" w:type="dxa"/>
          </w:tcPr>
          <w:p w14:paraId="78CEFAA1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Deeper analysis reinforces previous no-shows as an important risk indicator.</w:t>
            </w:r>
          </w:p>
        </w:tc>
      </w:tr>
      <w:tr w:rsidR="008D2DD3" w:rsidRPr="0028655D" w14:paraId="2DE683CF" w14:textId="77777777">
        <w:trPr>
          <w:jc w:val="center"/>
        </w:trPr>
        <w:tc>
          <w:tcPr>
            <w:tcW w:w="2880" w:type="dxa"/>
          </w:tcPr>
          <w:p w14:paraId="29F99C28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Long Lead-Time No-Show Rate (&gt;45 days)</w:t>
            </w:r>
          </w:p>
        </w:tc>
        <w:tc>
          <w:tcPr>
            <w:tcW w:w="2880" w:type="dxa"/>
          </w:tcPr>
          <w:p w14:paraId="67E863ED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67.69%</w:t>
            </w:r>
          </w:p>
        </w:tc>
        <w:tc>
          <w:tcPr>
            <w:tcW w:w="2880" w:type="dxa"/>
          </w:tcPr>
          <w:p w14:paraId="594E5A2E" w14:textId="77777777" w:rsidR="008D2DD3" w:rsidRPr="0028655D" w:rsidRDefault="00000000">
            <w:pPr>
              <w:rPr>
                <w:rFonts w:ascii="Times New Roman" w:hAnsi="Times New Roman" w:cs="Times New Roman"/>
              </w:rPr>
            </w:pPr>
            <w:r w:rsidRPr="0028655D">
              <w:rPr>
                <w:rFonts w:ascii="Times New Roman" w:hAnsi="Times New Roman" w:cs="Times New Roman"/>
              </w:rPr>
              <w:t>Deeper analysis reinforces long booking lead time as an important risk indicator.</w:t>
            </w:r>
          </w:p>
        </w:tc>
      </w:tr>
    </w:tbl>
    <w:p w14:paraId="7F5B61A7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  <w:b/>
          <w:bCs/>
        </w:rPr>
        <w:t>Validation conclusion</w:t>
      </w:r>
      <w:r w:rsidRPr="0028655D">
        <w:rPr>
          <w:rFonts w:ascii="Times New Roman" w:hAnsi="Times New Roman" w:cs="Times New Roman"/>
        </w:rPr>
        <w:t>: The Week 6 cross-analysis reinforces the main Week 5 conclusions. No major Week 5 KPI conclusion needs to be reversed based on the deeper analysis.</w:t>
      </w:r>
    </w:p>
    <w:p w14:paraId="6FBE527B" w14:textId="47700825" w:rsidR="008D2DD3" w:rsidRPr="0028655D" w:rsidRDefault="00000000">
      <w:pPr>
        <w:pStyle w:val="Heading1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Highest Business-Impact Findings &amp; Decisions</w:t>
      </w:r>
    </w:p>
    <w:p w14:paraId="736F1A9D" w14:textId="60ADA3A5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Previous no-shows: T</w:t>
      </w:r>
      <w:r w:rsidR="002C6FA9" w:rsidRPr="0028655D">
        <w:rPr>
          <w:rFonts w:ascii="Times New Roman" w:hAnsi="Times New Roman" w:cs="Times New Roman"/>
        </w:rPr>
        <w:t xml:space="preserve">his need to </w:t>
      </w:r>
      <w:r w:rsidR="002D6524" w:rsidRPr="0028655D">
        <w:rPr>
          <w:rFonts w:ascii="Times New Roman" w:hAnsi="Times New Roman" w:cs="Times New Roman"/>
        </w:rPr>
        <w:t>b</w:t>
      </w:r>
      <w:r w:rsidR="002C6FA9" w:rsidRPr="0028655D">
        <w:rPr>
          <w:rFonts w:ascii="Times New Roman" w:hAnsi="Times New Roman" w:cs="Times New Roman"/>
        </w:rPr>
        <w:t>e t</w:t>
      </w:r>
      <w:r w:rsidRPr="0028655D">
        <w:rPr>
          <w:rFonts w:ascii="Times New Roman" w:hAnsi="Times New Roman" w:cs="Times New Roman"/>
        </w:rPr>
        <w:t>reat</w:t>
      </w:r>
      <w:r w:rsidR="002C6FA9" w:rsidRPr="0028655D">
        <w:rPr>
          <w:rFonts w:ascii="Times New Roman" w:hAnsi="Times New Roman" w:cs="Times New Roman"/>
        </w:rPr>
        <w:t>ed</w:t>
      </w:r>
      <w:r w:rsidRPr="0028655D">
        <w:rPr>
          <w:rFonts w:ascii="Times New Roman" w:hAnsi="Times New Roman" w:cs="Times New Roman"/>
        </w:rPr>
        <w:t xml:space="preserve"> as a high-priority attendance-risk indicator and target repeat no-show patients.</w:t>
      </w:r>
    </w:p>
    <w:p w14:paraId="085CE277" w14:textId="42DCC279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 xml:space="preserve">Booking lead time: </w:t>
      </w:r>
      <w:r w:rsidR="003B7945" w:rsidRPr="0028655D">
        <w:rPr>
          <w:rFonts w:ascii="Times New Roman" w:hAnsi="Times New Roman" w:cs="Times New Roman"/>
        </w:rPr>
        <w:t>Management needs to t</w:t>
      </w:r>
      <w:r w:rsidRPr="0028655D">
        <w:rPr>
          <w:rFonts w:ascii="Times New Roman" w:hAnsi="Times New Roman" w:cs="Times New Roman"/>
        </w:rPr>
        <w:t>reat long-lead appointments as higher-risk and consider additional confirmation closer to the appointment.</w:t>
      </w:r>
    </w:p>
    <w:p w14:paraId="6E689238" w14:textId="740512FC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 xml:space="preserve">Reminders: </w:t>
      </w:r>
      <w:r w:rsidR="003B7945" w:rsidRPr="0028655D">
        <w:rPr>
          <w:rFonts w:ascii="Times New Roman" w:hAnsi="Times New Roman" w:cs="Times New Roman"/>
        </w:rPr>
        <w:t>This should be u</w:t>
      </w:r>
      <w:r w:rsidRPr="0028655D">
        <w:rPr>
          <w:rFonts w:ascii="Times New Roman" w:hAnsi="Times New Roman" w:cs="Times New Roman"/>
        </w:rPr>
        <w:t>se</w:t>
      </w:r>
      <w:r w:rsidR="003B7945" w:rsidRPr="0028655D">
        <w:rPr>
          <w:rFonts w:ascii="Times New Roman" w:hAnsi="Times New Roman" w:cs="Times New Roman"/>
        </w:rPr>
        <w:t>d</w:t>
      </w:r>
      <w:r w:rsidRPr="0028655D">
        <w:rPr>
          <w:rFonts w:ascii="Times New Roman" w:hAnsi="Times New Roman" w:cs="Times New Roman"/>
        </w:rPr>
        <w:t xml:space="preserve"> as a targeted attendance-support intervention; describe the evidence as an association, not proof of causation.</w:t>
      </w:r>
    </w:p>
    <w:p w14:paraId="3CBE67E1" w14:textId="614D797D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 xml:space="preserve">Distance: </w:t>
      </w:r>
      <w:r w:rsidR="002D6524" w:rsidRPr="0028655D">
        <w:rPr>
          <w:rFonts w:ascii="Times New Roman" w:hAnsi="Times New Roman" w:cs="Times New Roman"/>
        </w:rPr>
        <w:t>It should be r</w:t>
      </w:r>
      <w:r w:rsidRPr="0028655D">
        <w:rPr>
          <w:rFonts w:ascii="Times New Roman" w:hAnsi="Times New Roman" w:cs="Times New Roman"/>
        </w:rPr>
        <w:t>etain</w:t>
      </w:r>
      <w:r w:rsidR="002D6524" w:rsidRPr="0028655D">
        <w:rPr>
          <w:rFonts w:ascii="Times New Roman" w:hAnsi="Times New Roman" w:cs="Times New Roman"/>
        </w:rPr>
        <w:t>ed</w:t>
      </w:r>
      <w:r w:rsidRPr="0028655D">
        <w:rPr>
          <w:rFonts w:ascii="Times New Roman" w:hAnsi="Times New Roman" w:cs="Times New Roman"/>
        </w:rPr>
        <w:t xml:space="preserve"> as a supporting risk indicator rather than the primary intervention target because patient residence is not directly controllable.</w:t>
      </w:r>
    </w:p>
    <w:p w14:paraId="6FA3EE30" w14:textId="6ABF6416" w:rsidR="008D2DD3" w:rsidRPr="0028655D" w:rsidRDefault="00000000">
      <w:pPr>
        <w:pStyle w:val="Heading1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lastRenderedPageBreak/>
        <w:t>Cross-Track Integration — Data Analytics → Data Science</w:t>
      </w:r>
    </w:p>
    <w:p w14:paraId="7EF5A444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Integration point: Data Science. The dependency is that analytical findings can inform the variables and risk patterns considered during no-show modelling. The Week 6 assignment identifies Data Analytics → Data Science as a potential integration path.</w:t>
      </w:r>
    </w:p>
    <w:p w14:paraId="30ABB639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Information/output provided: Week 6 evidence showing previous no-shows, booking lead time, distance and reminder status as relevant analytical variables/patterns.</w:t>
      </w:r>
    </w:p>
    <w:p w14:paraId="39F0D3FC" w14:textId="6D933E74" w:rsidR="008D2DD3" w:rsidRPr="00E5062C" w:rsidRDefault="00000000" w:rsidP="00E5062C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What should change: Data Science can use the evidence to prioritise or assess these variables during feature selection/model evaluation.</w:t>
      </w:r>
    </w:p>
    <w:p w14:paraId="67013D7E" w14:textId="54376428" w:rsidR="008D2DD3" w:rsidRPr="0028655D" w:rsidRDefault="00000000">
      <w:pPr>
        <w:pStyle w:val="Heading1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Dashboard Improvement</w:t>
      </w:r>
    </w:p>
    <w:p w14:paraId="08B63E4F" w14:textId="6EFDFBB0" w:rsidR="002D6524" w:rsidRPr="0028655D" w:rsidRDefault="002D6524" w:rsidP="002D6524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 xml:space="preserve">Another page was created, the </w:t>
      </w:r>
      <w:r w:rsidRPr="0028655D">
        <w:rPr>
          <w:rFonts w:ascii="Times New Roman" w:hAnsi="Times New Roman" w:cs="Times New Roman"/>
        </w:rPr>
        <w:t>Page 2 Week 6 – Advanced Analytics &amp; Decision Support</w:t>
      </w:r>
      <w:r w:rsidRPr="0028655D">
        <w:rPr>
          <w:rFonts w:ascii="Times New Roman" w:hAnsi="Times New Roman" w:cs="Times New Roman"/>
        </w:rPr>
        <w:t>. This shows that:</w:t>
      </w:r>
    </w:p>
    <w:p w14:paraId="78DF47A9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Previous no-shows: Higher history of missed appointments is associated with higher current no-show rates → prioritise targeted reminders.</w:t>
      </w:r>
    </w:p>
    <w:p w14:paraId="28CD16E2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Long booking lead time: No-show rates rise substantially with longer lead times → consider additional confirmation.</w:t>
      </w:r>
    </w:p>
    <w:p w14:paraId="5EF39293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Distance: Greater distance can be used as a supporting risk indicator → consider attendance-support and rescheduling options.</w:t>
      </w:r>
    </w:p>
    <w:p w14:paraId="414AED44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This improvement shifts the dashboard from describing what happened toward communicating what HealthConnect could consider doing.</w:t>
      </w:r>
    </w:p>
    <w:p w14:paraId="727D17B3" w14:textId="55F24372" w:rsidR="008D2DD3" w:rsidRPr="0028655D" w:rsidRDefault="00000000">
      <w:pPr>
        <w:pStyle w:val="Heading1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Assumptions, Limitations, Risks &amp; Dependencies</w:t>
      </w:r>
    </w:p>
    <w:p w14:paraId="4403319A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The analysis is observational; associations should not be interpreted as causal effects.</w:t>
      </w:r>
    </w:p>
    <w:p w14:paraId="4992B949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Some extreme cross-analysis percentages may reflect small segment sizes.</w:t>
      </w:r>
    </w:p>
    <w:p w14:paraId="1CDB0548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90 distance values and 60 waiting-time values were missing in the Week 5 data-quality review.</w:t>
      </w:r>
    </w:p>
    <w:p w14:paraId="196653E1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The reminder_channel value “None” represents no reminder and is a valid category, not ordinary missing data.</w:t>
      </w:r>
    </w:p>
    <w:p w14:paraId="05ACA579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Reminder assignment may reflect patient or operational characteristics, so reminder comparisons may be confounded.</w:t>
      </w:r>
    </w:p>
    <w:p w14:paraId="4B54D86A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The fixed 5,000-record dataset may not generalise to all future HealthConnect appointments.</w:t>
      </w:r>
    </w:p>
    <w:p w14:paraId="10FF42F6" w14:textId="77777777" w:rsidR="008D2DD3" w:rsidRPr="0028655D" w:rsidRDefault="00000000">
      <w:pPr>
        <w:pStyle w:val="ListBullet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Further predictive modelling is needed to test whether identified factors reliably predict individual no-show risk.</w:t>
      </w:r>
    </w:p>
    <w:p w14:paraId="2BB892C9" w14:textId="4D16FB10" w:rsidR="008D2DD3" w:rsidRPr="0028655D" w:rsidRDefault="00000000">
      <w:pPr>
        <w:pStyle w:val="Heading1"/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Week 6 Project Summary</w:t>
      </w:r>
    </w:p>
    <w:p w14:paraId="62E4046E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Planned: Extend Week 5 HealthConnect analytics by validating important findings, investigating relationships between risk factors and interventions, integrating analytical outputs with another track, and improving decision support.</w:t>
      </w:r>
    </w:p>
    <w:p w14:paraId="608AE0E0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lastRenderedPageBreak/>
        <w:t>Completed: Three cross-analyses were conducted in Power BI: previous no-shows × reminders; booking lead time × previous no-shows; and distance × previous no-shows × reminders. Week 5 KPIs were reviewed and the major conclusions remained relevant.</w:t>
      </w:r>
    </w:p>
    <w:p w14:paraId="4AE1E750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Improved: The work moved from individual Week 5 relationships toward interaction-based evidence and practical risk prioritisation.</w:t>
      </w:r>
    </w:p>
    <w:p w14:paraId="5773BE27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Integration: Data Analytics → Data Science was identified as the most relevant integration point. The analytical findings are packaged as a modelling handoff; tangible evidence of actual use must be attached before submission.</w:t>
      </w:r>
    </w:p>
    <w:p w14:paraId="0E52D30F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Key outcomes: Previous no-shows and long booking lead time remain important risk indicators. Reminders were associated with lower no-show rates at most comparable previous-no-show levels, with a 10.16-point difference at two previous no-shows. Distance remains a useful supporting indicator.</w:t>
      </w:r>
    </w:p>
    <w:p w14:paraId="1A77A7B7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Challenges: Small segment sizes can produce unstable extreme percentages; distance is informative but not directly controllable; observational data does not establish causation.</w:t>
      </w:r>
    </w:p>
    <w:p w14:paraId="7B69D2F8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Decisions: Prioritise repeat no-show patients and long-lead appointments for attendance-support interventions; retain distance as a supporting risk factor; provide findings for predictive modelling.</w:t>
      </w:r>
    </w:p>
    <w:p w14:paraId="25CF7CD7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Remaining issues: Validate candidate predictors through modelling and further testing; confirm the effectiveness of targeted interventions.</w:t>
      </w:r>
    </w:p>
    <w:p w14:paraId="23F50A9D" w14:textId="77777777" w:rsidR="008D2DD3" w:rsidRPr="0028655D" w:rsidRDefault="00000000">
      <w:pPr>
        <w:rPr>
          <w:rFonts w:ascii="Times New Roman" w:hAnsi="Times New Roman" w:cs="Times New Roman"/>
        </w:rPr>
      </w:pPr>
      <w:r w:rsidRPr="0028655D">
        <w:rPr>
          <w:rFonts w:ascii="Times New Roman" w:hAnsi="Times New Roman" w:cs="Times New Roman"/>
        </w:rPr>
        <w:t>Contribution: The Data Analytics track provides evidence-based risk patterns and decision-support recommendations that can inform future no-show prediction and attendance-support work.</w:t>
      </w:r>
    </w:p>
    <w:p w14:paraId="54F9BAB0" w14:textId="5EB9952E" w:rsidR="008D2DD3" w:rsidRDefault="008D2DD3" w:rsidP="0028655D">
      <w:pPr>
        <w:pStyle w:val="ListBullet"/>
        <w:numPr>
          <w:ilvl w:val="0"/>
          <w:numId w:val="0"/>
        </w:numPr>
        <w:ind w:left="360"/>
        <w:rPr>
          <w:rFonts w:hint="eastAsia"/>
        </w:rPr>
      </w:pPr>
    </w:p>
    <w:sectPr w:rsidR="008D2D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7664">
    <w:abstractNumId w:val="8"/>
  </w:num>
  <w:num w:numId="2" w16cid:durableId="66461763">
    <w:abstractNumId w:val="6"/>
  </w:num>
  <w:num w:numId="3" w16cid:durableId="1401446129">
    <w:abstractNumId w:val="5"/>
  </w:num>
  <w:num w:numId="4" w16cid:durableId="1530874254">
    <w:abstractNumId w:val="4"/>
  </w:num>
  <w:num w:numId="5" w16cid:durableId="431123984">
    <w:abstractNumId w:val="7"/>
  </w:num>
  <w:num w:numId="6" w16cid:durableId="1072854640">
    <w:abstractNumId w:val="3"/>
  </w:num>
  <w:num w:numId="7" w16cid:durableId="717315416">
    <w:abstractNumId w:val="2"/>
  </w:num>
  <w:num w:numId="8" w16cid:durableId="1434327525">
    <w:abstractNumId w:val="1"/>
  </w:num>
  <w:num w:numId="9" w16cid:durableId="51400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D78"/>
    <w:rsid w:val="0015074B"/>
    <w:rsid w:val="0016509A"/>
    <w:rsid w:val="0028655D"/>
    <w:rsid w:val="0029639D"/>
    <w:rsid w:val="002C6FA9"/>
    <w:rsid w:val="002D6524"/>
    <w:rsid w:val="00326F90"/>
    <w:rsid w:val="003B7945"/>
    <w:rsid w:val="008D2DD3"/>
    <w:rsid w:val="00AA1D8D"/>
    <w:rsid w:val="00B47730"/>
    <w:rsid w:val="00CB0664"/>
    <w:rsid w:val="00E506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B8EE2"/>
  <w14:defaultImageDpi w14:val="300"/>
  <w15:docId w15:val="{D512257D-610A-4A32-9819-3E7D2D60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1337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Valentine Valenz</cp:lastModifiedBy>
  <cp:revision>2</cp:revision>
  <dcterms:created xsi:type="dcterms:W3CDTF">2013-12-23T23:15:00Z</dcterms:created>
  <dcterms:modified xsi:type="dcterms:W3CDTF">2026-09-13T08:17:00Z</dcterms:modified>
  <cp:category/>
</cp:coreProperties>
</file>