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15C03" w14:textId="0F1A583C" w:rsidR="00084AD3" w:rsidRDefault="00000000">
      <w:pPr>
        <w:spacing w:after="128"/>
        <w:ind w:left="0" w:firstLine="0"/>
        <w:jc w:val="center"/>
      </w:pPr>
      <w:r>
        <w:rPr>
          <w:b/>
          <w:sz w:val="38"/>
        </w:rPr>
        <w:t>HealthConnect — Week 8 Documentation</w:t>
      </w:r>
    </w:p>
    <w:p w14:paraId="7393B34E" w14:textId="46B5798C" w:rsidR="00084AD3" w:rsidRDefault="00000000">
      <w:pPr>
        <w:spacing w:after="42"/>
        <w:ind w:left="0" w:firstLine="0"/>
      </w:pPr>
      <w:r>
        <w:rPr>
          <w:b/>
          <w:sz w:val="28"/>
        </w:rPr>
        <w:t xml:space="preserve">Final Analytics &amp; Decision Support </w:t>
      </w:r>
      <w:r w:rsidR="00AB3BFE">
        <w:rPr>
          <w:b/>
          <w:sz w:val="28"/>
        </w:rPr>
        <w:t>Works</w:t>
      </w:r>
    </w:p>
    <w:p w14:paraId="75497003" w14:textId="6E4D2C68" w:rsidR="00084AD3" w:rsidRDefault="00000000">
      <w:pPr>
        <w:pStyle w:val="Heading1"/>
        <w:ind w:left="-5"/>
      </w:pPr>
      <w:r>
        <w:t>Executive Summary</w:t>
      </w:r>
    </w:p>
    <w:p w14:paraId="1D5B28EA" w14:textId="34A63D26" w:rsidR="00084AD3" w:rsidRDefault="00000000">
      <w:pPr>
        <w:numPr>
          <w:ilvl w:val="0"/>
          <w:numId w:val="1"/>
        </w:numPr>
        <w:ind w:right="4" w:hanging="119"/>
      </w:pPr>
      <w:r w:rsidRPr="00AB3BFE">
        <w:rPr>
          <w:b/>
          <w:bCs/>
        </w:rPr>
        <w:t>Problem:</w:t>
      </w:r>
      <w:r>
        <w:t xml:space="preserve"> </w:t>
      </w:r>
      <w:r w:rsidR="00AB3BFE">
        <w:t xml:space="preserve">To </w:t>
      </w:r>
      <w:r>
        <w:t>reduce missed appointments and improve patient support.</w:t>
      </w:r>
    </w:p>
    <w:p w14:paraId="4D3D5C5E" w14:textId="408BBB8F" w:rsidR="00084AD3" w:rsidRDefault="00000000">
      <w:pPr>
        <w:numPr>
          <w:ilvl w:val="0"/>
          <w:numId w:val="1"/>
        </w:numPr>
        <w:spacing w:after="165"/>
        <w:ind w:right="4" w:hanging="119"/>
      </w:pPr>
      <w:r w:rsidRPr="00AB3BFE">
        <w:rPr>
          <w:b/>
          <w:bCs/>
        </w:rPr>
        <w:t>Dataset:</w:t>
      </w:r>
      <w:r>
        <w:t xml:space="preserve"> 5,000 </w:t>
      </w:r>
      <w:r w:rsidR="0017586C">
        <w:t>appointments</w:t>
      </w:r>
      <w:r>
        <w:t xml:space="preserve"> </w:t>
      </w:r>
      <w:r w:rsidR="00AB3BFE">
        <w:t xml:space="preserve">were </w:t>
      </w:r>
      <w:r>
        <w:t>record</w:t>
      </w:r>
      <w:r w:rsidR="00AB3BFE">
        <w:t>ed</w:t>
      </w:r>
      <w:r>
        <w:t>.</w:t>
      </w:r>
    </w:p>
    <w:p w14:paraId="460D674D" w14:textId="4AE14F1C" w:rsidR="00084AD3" w:rsidRDefault="00000000">
      <w:pPr>
        <w:numPr>
          <w:ilvl w:val="0"/>
          <w:numId w:val="1"/>
        </w:numPr>
        <w:ind w:right="4" w:hanging="119"/>
      </w:pPr>
      <w:r w:rsidRPr="00AB3BFE">
        <w:rPr>
          <w:b/>
          <w:bCs/>
        </w:rPr>
        <w:t>Progression:</w:t>
      </w:r>
      <w:r>
        <w:t xml:space="preserve"> </w:t>
      </w:r>
      <w:r w:rsidR="00AB3BFE">
        <w:t>Started with w</w:t>
      </w:r>
      <w:r>
        <w:t xml:space="preserve">eek 5 analysis/dashboard </w:t>
      </w:r>
      <w:r>
        <w:rPr>
          <w:rFonts w:ascii="Segoe UI Symbol" w:eastAsia="Segoe UI Symbol" w:hAnsi="Segoe UI Symbol" w:cs="Segoe UI Symbol"/>
        </w:rPr>
        <w:t>→</w:t>
      </w:r>
      <w:r>
        <w:t xml:space="preserve"> Week 6 advanced analysis </w:t>
      </w:r>
      <w:r>
        <w:rPr>
          <w:rFonts w:ascii="Segoe UI Symbol" w:eastAsia="Segoe UI Symbol" w:hAnsi="Segoe UI Symbol" w:cs="Segoe UI Symbol"/>
        </w:rPr>
        <w:t>→</w:t>
      </w:r>
      <w:r>
        <w:t xml:space="preserve"> Week 7 testing/refinement </w:t>
      </w:r>
      <w:r>
        <w:rPr>
          <w:rFonts w:ascii="Segoe UI Symbol" w:eastAsia="Segoe UI Symbol" w:hAnsi="Segoe UI Symbol" w:cs="Segoe UI Symbol"/>
        </w:rPr>
        <w:t>→</w:t>
      </w:r>
      <w:r>
        <w:t xml:space="preserve"> Week 8 final integration.</w:t>
      </w:r>
    </w:p>
    <w:p w14:paraId="0B40D70F" w14:textId="77777777" w:rsidR="00084AD3" w:rsidRDefault="00000000">
      <w:pPr>
        <w:numPr>
          <w:ilvl w:val="0"/>
          <w:numId w:val="1"/>
        </w:numPr>
        <w:spacing w:after="274"/>
        <w:ind w:right="4" w:hanging="119"/>
      </w:pPr>
      <w:r>
        <w:t>Summarize the main validated insights and their business value.</w:t>
      </w:r>
    </w:p>
    <w:p w14:paraId="51870502" w14:textId="4B5C93BD" w:rsidR="00084AD3" w:rsidRDefault="00000000">
      <w:pPr>
        <w:pStyle w:val="Heading1"/>
        <w:spacing w:after="0"/>
        <w:ind w:left="-5"/>
      </w:pPr>
      <w:r>
        <w:t>Final KPIs</w:t>
      </w:r>
    </w:p>
    <w:tbl>
      <w:tblPr>
        <w:tblStyle w:val="TableGrid"/>
        <w:tblW w:w="9071" w:type="dxa"/>
        <w:tblInd w:w="447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36"/>
        <w:gridCol w:w="2835"/>
      </w:tblGrid>
      <w:tr w:rsidR="00084AD3" w14:paraId="7E8F6119" w14:textId="77777777">
        <w:trPr>
          <w:trHeight w:val="440"/>
        </w:trPr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43D7FE29" w14:textId="77777777" w:rsidR="00084AD3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503E3BF7" w14:textId="77777777" w:rsidR="00084AD3" w:rsidRDefault="00000000">
            <w:pPr>
              <w:spacing w:after="0"/>
              <w:ind w:left="0" w:firstLine="0"/>
            </w:pPr>
            <w:r>
              <w:rPr>
                <w:b/>
                <w:sz w:val="18"/>
              </w:rPr>
              <w:t>Final result</w:t>
            </w:r>
          </w:p>
        </w:tc>
      </w:tr>
      <w:tr w:rsidR="00084AD3" w14:paraId="3ECFA203" w14:textId="77777777">
        <w:trPr>
          <w:trHeight w:val="440"/>
        </w:trPr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8CEB46" w14:textId="77777777" w:rsidR="00084AD3" w:rsidRDefault="00000000">
            <w:pPr>
              <w:spacing w:after="0"/>
              <w:ind w:left="0" w:firstLine="0"/>
            </w:pPr>
            <w:r>
              <w:rPr>
                <w:sz w:val="18"/>
              </w:rPr>
              <w:t>No-Show Rate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2ACB8D" w14:textId="77777777" w:rsidR="00084AD3" w:rsidRDefault="00000000">
            <w:pPr>
              <w:spacing w:after="0"/>
              <w:ind w:left="0" w:firstLine="0"/>
            </w:pPr>
            <w:r>
              <w:rPr>
                <w:sz w:val="18"/>
              </w:rPr>
              <w:t>48.45%</w:t>
            </w:r>
          </w:p>
        </w:tc>
      </w:tr>
      <w:tr w:rsidR="00084AD3" w14:paraId="558A451F" w14:textId="77777777">
        <w:trPr>
          <w:trHeight w:val="440"/>
        </w:trPr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871300" w14:textId="77777777" w:rsidR="00084AD3" w:rsidRDefault="00000000">
            <w:pPr>
              <w:spacing w:after="0"/>
              <w:ind w:left="0" w:firstLine="0"/>
            </w:pPr>
            <w:r>
              <w:rPr>
                <w:sz w:val="18"/>
              </w:rPr>
              <w:t>Attendance Rate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F0C389" w14:textId="77777777" w:rsidR="00084AD3" w:rsidRDefault="00000000">
            <w:pPr>
              <w:spacing w:after="0"/>
              <w:ind w:left="0" w:firstLine="0"/>
            </w:pPr>
            <w:r>
              <w:rPr>
                <w:sz w:val="18"/>
              </w:rPr>
              <w:t>46.27%</w:t>
            </w:r>
          </w:p>
        </w:tc>
      </w:tr>
      <w:tr w:rsidR="00084AD3" w14:paraId="1D768883" w14:textId="77777777">
        <w:trPr>
          <w:trHeight w:val="440"/>
        </w:trPr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8A94BF" w14:textId="77777777" w:rsidR="00084AD3" w:rsidRDefault="00000000">
            <w:pPr>
              <w:spacing w:after="0"/>
              <w:ind w:left="0" w:firstLine="0"/>
            </w:pPr>
            <w:r>
              <w:rPr>
                <w:sz w:val="18"/>
              </w:rPr>
              <w:t>Reminder Effectiveness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793F19" w14:textId="77777777" w:rsidR="00084AD3" w:rsidRDefault="00000000">
            <w:pPr>
              <w:spacing w:after="0"/>
              <w:ind w:left="0" w:firstLine="0"/>
            </w:pPr>
            <w:r>
              <w:rPr>
                <w:sz w:val="18"/>
              </w:rPr>
              <w:t>4.03%</w:t>
            </w:r>
          </w:p>
        </w:tc>
      </w:tr>
      <w:tr w:rsidR="00084AD3" w14:paraId="57E6A946" w14:textId="77777777">
        <w:trPr>
          <w:trHeight w:val="440"/>
        </w:trPr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75FC8AD" w14:textId="77777777" w:rsidR="00084AD3" w:rsidRDefault="00000000">
            <w:pPr>
              <w:spacing w:after="0"/>
              <w:ind w:left="0" w:firstLine="0"/>
            </w:pPr>
            <w:r>
              <w:rPr>
                <w:sz w:val="18"/>
              </w:rPr>
              <w:t>High-Risk No-Show Rate (2+)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A292CD" w14:textId="77777777" w:rsidR="00084AD3" w:rsidRDefault="00000000">
            <w:pPr>
              <w:spacing w:after="0"/>
              <w:ind w:left="0" w:firstLine="0"/>
            </w:pPr>
            <w:r>
              <w:rPr>
                <w:sz w:val="18"/>
              </w:rPr>
              <w:t>61.02%</w:t>
            </w:r>
          </w:p>
        </w:tc>
      </w:tr>
      <w:tr w:rsidR="00084AD3" w14:paraId="084EFC3F" w14:textId="77777777">
        <w:trPr>
          <w:trHeight w:val="440"/>
        </w:trPr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F8C45C" w14:textId="77777777" w:rsidR="00084AD3" w:rsidRDefault="00000000">
            <w:pPr>
              <w:spacing w:after="0"/>
              <w:ind w:left="0" w:firstLine="0"/>
            </w:pPr>
            <w:r>
              <w:rPr>
                <w:sz w:val="18"/>
              </w:rPr>
              <w:t>Long Lead-Time No-Show Rate (&gt;45 days)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91E6C5" w14:textId="77777777" w:rsidR="00084AD3" w:rsidRDefault="00000000">
            <w:pPr>
              <w:spacing w:after="0"/>
              <w:ind w:left="0" w:firstLine="0"/>
            </w:pPr>
            <w:r>
              <w:rPr>
                <w:sz w:val="18"/>
              </w:rPr>
              <w:t>68.09%</w:t>
            </w:r>
          </w:p>
        </w:tc>
      </w:tr>
    </w:tbl>
    <w:p w14:paraId="592FA6D8" w14:textId="1BDB140E" w:rsidR="00084AD3" w:rsidRDefault="00000000">
      <w:pPr>
        <w:pStyle w:val="Heading1"/>
        <w:ind w:left="-5"/>
      </w:pPr>
      <w:r>
        <w:t>Validated Key Findings</w:t>
      </w:r>
    </w:p>
    <w:p w14:paraId="1420A1E2" w14:textId="77777777" w:rsidR="00084AD3" w:rsidRDefault="00000000">
      <w:pPr>
        <w:numPr>
          <w:ilvl w:val="0"/>
          <w:numId w:val="2"/>
        </w:numPr>
        <w:ind w:right="4" w:hanging="119"/>
      </w:pPr>
      <w:r w:rsidRPr="0017586C">
        <w:rPr>
          <w:b/>
          <w:bCs/>
        </w:rPr>
        <w:t>Previous no-shows:</w:t>
      </w:r>
      <w:r>
        <w:t xml:space="preserve"> no-show rate generally increases as previous no-shows increase.</w:t>
      </w:r>
    </w:p>
    <w:p w14:paraId="42EF26C7" w14:textId="77777777" w:rsidR="00084AD3" w:rsidRDefault="00000000">
      <w:pPr>
        <w:numPr>
          <w:ilvl w:val="0"/>
          <w:numId w:val="2"/>
        </w:numPr>
        <w:ind w:right="4" w:hanging="119"/>
      </w:pPr>
      <w:r w:rsidRPr="0017586C">
        <w:rPr>
          <w:b/>
          <w:bCs/>
        </w:rPr>
        <w:t>Booking lead time:</w:t>
      </w:r>
      <w:r>
        <w:t xml:space="preserve"> longer booking intervals are associated with higher no-show rates.</w:t>
      </w:r>
    </w:p>
    <w:p w14:paraId="6BAF8BAA" w14:textId="3E9D302F" w:rsidR="00084AD3" w:rsidRDefault="00000000">
      <w:pPr>
        <w:numPr>
          <w:ilvl w:val="0"/>
          <w:numId w:val="2"/>
        </w:numPr>
        <w:ind w:right="4" w:hanging="119"/>
      </w:pPr>
      <w:r w:rsidRPr="0017586C">
        <w:rPr>
          <w:b/>
          <w:bCs/>
        </w:rPr>
        <w:t>Reminder activity:</w:t>
      </w:r>
      <w:r>
        <w:t xml:space="preserve"> reminder recipients showed a lower observed no-show rate overall; describe this as an</w:t>
      </w:r>
      <w:r w:rsidR="0017586C">
        <w:t xml:space="preserve"> </w:t>
      </w:r>
      <w:r>
        <w:t>association, not causation.</w:t>
      </w:r>
    </w:p>
    <w:p w14:paraId="488DDDC3" w14:textId="77777777" w:rsidR="00084AD3" w:rsidRDefault="00000000">
      <w:pPr>
        <w:numPr>
          <w:ilvl w:val="0"/>
          <w:numId w:val="2"/>
        </w:numPr>
        <w:spacing w:after="274"/>
        <w:ind w:right="4" w:hanging="119"/>
      </w:pPr>
      <w:r w:rsidRPr="0017586C">
        <w:rPr>
          <w:b/>
          <w:bCs/>
        </w:rPr>
        <w:t>Distance:</w:t>
      </w:r>
      <w:r>
        <w:t xml:space="preserve"> higher-distance segments can be more variable, so distance is treated as a supporting indicator.</w:t>
      </w:r>
    </w:p>
    <w:p w14:paraId="058155FD" w14:textId="1AAB43FC" w:rsidR="00084AD3" w:rsidRDefault="00000000">
      <w:pPr>
        <w:pStyle w:val="Heading1"/>
        <w:ind w:left="-5"/>
      </w:pPr>
      <w:r>
        <w:t>Cross-Track Validation</w:t>
      </w:r>
    </w:p>
    <w:p w14:paraId="4DCC7DB6" w14:textId="77777777" w:rsidR="00084AD3" w:rsidRDefault="00000000">
      <w:pPr>
        <w:numPr>
          <w:ilvl w:val="0"/>
          <w:numId w:val="3"/>
        </w:numPr>
        <w:spacing w:after="115"/>
        <w:ind w:right="4" w:hanging="119"/>
      </w:pPr>
      <w:r>
        <w:t xml:space="preserve">Data Analytics </w:t>
      </w:r>
      <w:r>
        <w:rPr>
          <w:rFonts w:ascii="Segoe UI Symbol" w:eastAsia="Segoe UI Symbol" w:hAnsi="Segoe UI Symbol" w:cs="Segoe UI Symbol"/>
        </w:rPr>
        <w:t>→</w:t>
      </w:r>
      <w:r>
        <w:t xml:space="preserve"> Data Science: the lead-time finding was tested using cross-validation.</w:t>
      </w:r>
    </w:p>
    <w:p w14:paraId="38FF8ECD" w14:textId="77777777" w:rsidR="00084AD3" w:rsidRDefault="00000000">
      <w:pPr>
        <w:numPr>
          <w:ilvl w:val="0"/>
          <w:numId w:val="3"/>
        </w:numPr>
        <w:ind w:right="4" w:hanging="119"/>
      </w:pPr>
      <w:r>
        <w:t>Lead-time bands did not meaningfully improve accuracy or ROC-AUC compared with raw booking lead days.</w:t>
      </w:r>
    </w:p>
    <w:p w14:paraId="3F162697" w14:textId="375BC9FA" w:rsidR="00084AD3" w:rsidRDefault="00000000">
      <w:pPr>
        <w:numPr>
          <w:ilvl w:val="0"/>
          <w:numId w:val="3"/>
        </w:numPr>
        <w:spacing w:after="271"/>
        <w:ind w:right="4" w:hanging="119"/>
      </w:pPr>
      <w:r w:rsidRPr="0017586C">
        <w:rPr>
          <w:b/>
          <w:bCs/>
        </w:rPr>
        <w:t>Decision:</w:t>
      </w:r>
      <w:r>
        <w:t xml:space="preserve"> retain bands for stakeholder interpretation/storytelling; retain raw booking lead days for predictive</w:t>
      </w:r>
      <w:r w:rsidR="0017586C">
        <w:t xml:space="preserve"> </w:t>
      </w:r>
      <w:r>
        <w:t>modelling.</w:t>
      </w:r>
    </w:p>
    <w:p w14:paraId="4FD339B5" w14:textId="08C606C6" w:rsidR="00084AD3" w:rsidRDefault="00000000">
      <w:pPr>
        <w:pStyle w:val="Heading1"/>
        <w:ind w:left="-5"/>
      </w:pPr>
      <w:r>
        <w:t>Final Business Insights</w:t>
      </w:r>
    </w:p>
    <w:p w14:paraId="7559C033" w14:textId="77777777" w:rsidR="00084AD3" w:rsidRDefault="00000000">
      <w:pPr>
        <w:numPr>
          <w:ilvl w:val="0"/>
          <w:numId w:val="4"/>
        </w:numPr>
        <w:ind w:right="4" w:hanging="119"/>
      </w:pPr>
      <w:r>
        <w:t>Previous no-shows are an important group for targeted attendance support.</w:t>
      </w:r>
    </w:p>
    <w:p w14:paraId="0F2F5081" w14:textId="77777777" w:rsidR="00084AD3" w:rsidRDefault="00000000">
      <w:pPr>
        <w:numPr>
          <w:ilvl w:val="0"/>
          <w:numId w:val="4"/>
        </w:numPr>
        <w:ind w:right="4" w:hanging="119"/>
      </w:pPr>
      <w:r>
        <w:t>Long-lead appointments may need additional engagement closer to the appointment.</w:t>
      </w:r>
    </w:p>
    <w:p w14:paraId="25300E9A" w14:textId="77777777" w:rsidR="00084AD3" w:rsidRDefault="00000000">
      <w:pPr>
        <w:numPr>
          <w:ilvl w:val="0"/>
          <w:numId w:val="4"/>
        </w:numPr>
        <w:ind w:right="4" w:hanging="119"/>
      </w:pPr>
      <w:r>
        <w:t>Reminder activity provides a potential intervention point.</w:t>
      </w:r>
    </w:p>
    <w:p w14:paraId="3FACE417" w14:textId="77777777" w:rsidR="00084AD3" w:rsidRDefault="00000000">
      <w:pPr>
        <w:numPr>
          <w:ilvl w:val="0"/>
          <w:numId w:val="4"/>
        </w:numPr>
        <w:ind w:right="4" w:hanging="119"/>
      </w:pPr>
      <w:r>
        <w:t>Distance can provide context for attendance barriers.</w:t>
      </w:r>
    </w:p>
    <w:p w14:paraId="66B71E65" w14:textId="77777777" w:rsidR="00084AD3" w:rsidRDefault="00000000">
      <w:pPr>
        <w:numPr>
          <w:ilvl w:val="0"/>
          <w:numId w:val="4"/>
        </w:numPr>
        <w:spacing w:after="274"/>
        <w:ind w:right="4" w:hanging="119"/>
      </w:pPr>
      <w:r>
        <w:t>Descriptive usefulness and predictive usefulness should be treated separately.</w:t>
      </w:r>
    </w:p>
    <w:p w14:paraId="1A15F2F1" w14:textId="2F12E00F" w:rsidR="00084AD3" w:rsidRDefault="00000000">
      <w:pPr>
        <w:pStyle w:val="Heading1"/>
        <w:ind w:left="-5"/>
      </w:pPr>
      <w:r>
        <w:t>Recommendations</w:t>
      </w:r>
    </w:p>
    <w:p w14:paraId="5715D0C1" w14:textId="77777777" w:rsidR="00084AD3" w:rsidRDefault="00000000">
      <w:pPr>
        <w:numPr>
          <w:ilvl w:val="0"/>
          <w:numId w:val="5"/>
        </w:numPr>
        <w:ind w:right="4" w:hanging="119"/>
      </w:pPr>
      <w:r>
        <w:t>Target attendance-support strategies toward patients with previous no-shows.</w:t>
      </w:r>
    </w:p>
    <w:p w14:paraId="7AF667B5" w14:textId="77777777" w:rsidR="00084AD3" w:rsidRDefault="00000000">
      <w:pPr>
        <w:numPr>
          <w:ilvl w:val="0"/>
          <w:numId w:val="5"/>
        </w:numPr>
        <w:ind w:right="4" w:hanging="119"/>
      </w:pPr>
      <w:r>
        <w:t>Consider additional confirmation/reminder activity for appointments booked far in advance.</w:t>
      </w:r>
    </w:p>
    <w:p w14:paraId="59F584A9" w14:textId="77777777" w:rsidR="00084AD3" w:rsidRDefault="00000000">
      <w:pPr>
        <w:numPr>
          <w:ilvl w:val="0"/>
          <w:numId w:val="5"/>
        </w:numPr>
        <w:ind w:right="4" w:hanging="119"/>
      </w:pPr>
      <w:r>
        <w:t>Continue evaluating reminder processes for higher-risk groups.</w:t>
      </w:r>
    </w:p>
    <w:p w14:paraId="3AEF359D" w14:textId="77777777" w:rsidR="00084AD3" w:rsidRDefault="00000000">
      <w:pPr>
        <w:numPr>
          <w:ilvl w:val="0"/>
          <w:numId w:val="5"/>
        </w:numPr>
        <w:ind w:right="4" w:hanging="119"/>
      </w:pPr>
      <w:r>
        <w:t>Investigate accessibility barriers and rescheduling support for longer-distance patients.</w:t>
      </w:r>
    </w:p>
    <w:p w14:paraId="05E8A94C" w14:textId="77777777" w:rsidR="00084AD3" w:rsidRDefault="00000000">
      <w:pPr>
        <w:numPr>
          <w:ilvl w:val="0"/>
          <w:numId w:val="5"/>
        </w:numPr>
        <w:spacing w:after="274"/>
        <w:ind w:right="4" w:hanging="119"/>
      </w:pPr>
      <w:r>
        <w:lastRenderedPageBreak/>
        <w:t>Use lead-time bands for stakeholder communication, not as evidence of improved model performance.</w:t>
      </w:r>
    </w:p>
    <w:p w14:paraId="49B3733E" w14:textId="09E308F9" w:rsidR="00084AD3" w:rsidRDefault="00000000">
      <w:pPr>
        <w:pStyle w:val="Heading1"/>
        <w:ind w:left="-5"/>
      </w:pPr>
      <w:r>
        <w:t>Limitations</w:t>
      </w:r>
    </w:p>
    <w:p w14:paraId="0458F8EE" w14:textId="77777777" w:rsidR="00084AD3" w:rsidRDefault="00000000">
      <w:pPr>
        <w:numPr>
          <w:ilvl w:val="0"/>
          <w:numId w:val="6"/>
        </w:numPr>
        <w:ind w:right="4" w:hanging="119"/>
      </w:pPr>
      <w:r>
        <w:t>Findings describe associations, not causation.</w:t>
      </w:r>
    </w:p>
    <w:p w14:paraId="6452690C" w14:textId="77777777" w:rsidR="00084AD3" w:rsidRDefault="00000000">
      <w:pPr>
        <w:numPr>
          <w:ilvl w:val="0"/>
          <w:numId w:val="6"/>
        </w:numPr>
        <w:ind w:right="4" w:hanging="119"/>
      </w:pPr>
      <w:r>
        <w:t>Some high-distance/high previous-no-show segments have small samples.</w:t>
      </w:r>
    </w:p>
    <w:p w14:paraId="4894E01A" w14:textId="77777777" w:rsidR="00084AD3" w:rsidRDefault="00000000">
      <w:pPr>
        <w:numPr>
          <w:ilvl w:val="0"/>
          <w:numId w:val="6"/>
        </w:numPr>
        <w:ind w:right="4" w:hanging="119"/>
      </w:pPr>
      <w:r>
        <w:t>Lead-time bands improve interpretation but did not improve predictive performance.</w:t>
      </w:r>
    </w:p>
    <w:p w14:paraId="1266311F" w14:textId="25146CF1" w:rsidR="00084AD3" w:rsidRDefault="00000000">
      <w:pPr>
        <w:numPr>
          <w:ilvl w:val="0"/>
          <w:numId w:val="6"/>
        </w:numPr>
        <w:ind w:right="4" w:hanging="119"/>
      </w:pPr>
      <w:r>
        <w:t>Monitor the findings with new appointment data before operational deployment.</w:t>
      </w:r>
    </w:p>
    <w:p w14:paraId="7CDC9384" w14:textId="14F20E1F" w:rsidR="00084AD3" w:rsidRDefault="00084AD3">
      <w:pPr>
        <w:ind w:left="-5" w:right="4"/>
      </w:pPr>
    </w:p>
    <w:sectPr w:rsidR="00084AD3">
      <w:pgSz w:w="11906" w:h="16838"/>
      <w:pgMar w:top="967" w:right="970" w:bottom="1275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4BAE"/>
    <w:multiLevelType w:val="hybridMultilevel"/>
    <w:tmpl w:val="4EA20872"/>
    <w:lvl w:ilvl="0" w:tplc="79DEBDA2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79CCF5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152F3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89EEE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7625B1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CD6305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97C13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8123A0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3B4E71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420FF8"/>
    <w:multiLevelType w:val="hybridMultilevel"/>
    <w:tmpl w:val="86587EBA"/>
    <w:lvl w:ilvl="0" w:tplc="4D1CB954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27EA9C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362691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8F2CC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93EF25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C66EC9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97865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5D6654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F0254C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CD3B1A"/>
    <w:multiLevelType w:val="hybridMultilevel"/>
    <w:tmpl w:val="3CFC20D6"/>
    <w:lvl w:ilvl="0" w:tplc="338C0BC6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428AFE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39459A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7A0A9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334095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B9288D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5CA40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0A0AD3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FCEB1C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802D5C"/>
    <w:multiLevelType w:val="hybridMultilevel"/>
    <w:tmpl w:val="C982321E"/>
    <w:lvl w:ilvl="0" w:tplc="1FC4FF6E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04CA11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EA8CA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3A20B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DA828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FE2764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1024F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D7CE6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C4ACE4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0225AC"/>
    <w:multiLevelType w:val="hybridMultilevel"/>
    <w:tmpl w:val="01463210"/>
    <w:lvl w:ilvl="0" w:tplc="F8AEB788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B7039F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1C8F2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73855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804AC4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3460A9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0B613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41CEA1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30E34D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490804"/>
    <w:multiLevelType w:val="hybridMultilevel"/>
    <w:tmpl w:val="5C606BE4"/>
    <w:lvl w:ilvl="0" w:tplc="63C02464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E345A2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430B35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8E61D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188222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49EEF4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A602E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BB00BF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B96B20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7D534B"/>
    <w:multiLevelType w:val="hybridMultilevel"/>
    <w:tmpl w:val="7002903A"/>
    <w:lvl w:ilvl="0" w:tplc="9620BF3A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5400E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2E84B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D524F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AD8EA0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D2C68C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418C6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E4E08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FE417B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925CD8"/>
    <w:multiLevelType w:val="hybridMultilevel"/>
    <w:tmpl w:val="38E405CC"/>
    <w:lvl w:ilvl="0" w:tplc="DF4890B0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12A96D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7463C5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11AFDE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8C4F66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3F4C6C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CDE52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576E58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12EC84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36663E2"/>
    <w:multiLevelType w:val="hybridMultilevel"/>
    <w:tmpl w:val="426ECDB4"/>
    <w:lvl w:ilvl="0" w:tplc="EA124114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876C3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0F8A9C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2ACBD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7E894C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9E8818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ABCDA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994477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6A827E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940062"/>
    <w:multiLevelType w:val="hybridMultilevel"/>
    <w:tmpl w:val="CEE254C8"/>
    <w:lvl w:ilvl="0" w:tplc="E312BA18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C1EB3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D78F6E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F94CA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64E116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456E8D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FA224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8F0DE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4A08B6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5139909">
    <w:abstractNumId w:val="0"/>
  </w:num>
  <w:num w:numId="2" w16cid:durableId="1281106661">
    <w:abstractNumId w:val="7"/>
  </w:num>
  <w:num w:numId="3" w16cid:durableId="1745495379">
    <w:abstractNumId w:val="1"/>
  </w:num>
  <w:num w:numId="4" w16cid:durableId="50616835">
    <w:abstractNumId w:val="4"/>
  </w:num>
  <w:num w:numId="5" w16cid:durableId="1162545937">
    <w:abstractNumId w:val="3"/>
  </w:num>
  <w:num w:numId="6" w16cid:durableId="433598860">
    <w:abstractNumId w:val="8"/>
  </w:num>
  <w:num w:numId="7" w16cid:durableId="103810348">
    <w:abstractNumId w:val="2"/>
  </w:num>
  <w:num w:numId="8" w16cid:durableId="28997821">
    <w:abstractNumId w:val="5"/>
  </w:num>
  <w:num w:numId="9" w16cid:durableId="1529492497">
    <w:abstractNumId w:val="9"/>
  </w:num>
  <w:num w:numId="10" w16cid:durableId="15263611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AD3"/>
    <w:rsid w:val="00084AD3"/>
    <w:rsid w:val="0017586C"/>
    <w:rsid w:val="00451D8D"/>
    <w:rsid w:val="005D77EB"/>
    <w:rsid w:val="00820379"/>
    <w:rsid w:val="00AA21A4"/>
    <w:rsid w:val="00AB3BFE"/>
    <w:rsid w:val="00B84513"/>
    <w:rsid w:val="00BC34B3"/>
    <w:rsid w:val="00D70977"/>
    <w:rsid w:val="00DF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6919"/>
  <w15:docId w15:val="{B271874A-D5B3-4031-9BF6-F390E0D26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59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2962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Valentine Valenz</dc:creator>
  <cp:keywords/>
  <cp:lastModifiedBy>Valentine Valenz</cp:lastModifiedBy>
  <cp:revision>33</cp:revision>
  <dcterms:created xsi:type="dcterms:W3CDTF">2026-09-24T09:12:00Z</dcterms:created>
  <dcterms:modified xsi:type="dcterms:W3CDTF">2026-09-27T07:06:00Z</dcterms:modified>
</cp:coreProperties>
</file>