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WithEffects.xml" ContentType="application/vnd.ms-word.stylesWithEffect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7559A" w:rsidRDefault="0037559A" w:rsidP="00B143F6">
      <w:pPr>
        <w:spacing w:before="100" w:beforeAutospacing="1"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1F1F1F"/>
          <w:kern w:val="36"/>
          <w:sz w:val="32"/>
          <w:szCs w:val="48"/>
          <w:lang w:eastAsia="pt-BR"/>
        </w:rPr>
      </w:pPr>
    </w:p>
    <w:p w:rsidR="00B143F6" w:rsidRPr="0037559A" w:rsidRDefault="00B143F6" w:rsidP="00B143F6">
      <w:pPr>
        <w:spacing w:before="100" w:beforeAutospacing="1"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1F1F1F"/>
          <w:kern w:val="36"/>
          <w:sz w:val="32"/>
          <w:szCs w:val="48"/>
          <w:lang w:eastAsia="pt-BR"/>
        </w:rPr>
      </w:pPr>
      <w:r w:rsidRPr="0037559A">
        <w:rPr>
          <w:rFonts w:ascii="Times New Roman" w:eastAsia="Times New Roman" w:hAnsi="Times New Roman" w:cs="Times New Roman"/>
          <w:b/>
          <w:bCs/>
          <w:color w:val="1F1F1F"/>
          <w:kern w:val="36"/>
          <w:sz w:val="32"/>
          <w:szCs w:val="48"/>
          <w:lang w:eastAsia="pt-BR"/>
        </w:rPr>
        <w:t>ESTUDO DE CASO 1.1: OPERAÇÃO LOGÍSTICA DE DISTRIBUIÇÃO EM LARGA ESCALA</w:t>
      </w:r>
    </w:p>
    <w:p w:rsidR="00B143F6" w:rsidRPr="00B143F6" w:rsidRDefault="00B143F6" w:rsidP="00B143F6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pt-BR"/>
        </w:rPr>
      </w:pPr>
      <w:r w:rsidRPr="00B143F6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pt-BR"/>
        </w:rPr>
        <w:t xml:space="preserve">Plataforma </w:t>
      </w:r>
      <w:r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pt-BR"/>
        </w:rPr>
        <w:t xml:space="preserve">de Entregas Rápidas </w:t>
      </w:r>
      <w:r w:rsidRPr="00B143F6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pt-BR"/>
        </w:rPr>
        <w:t>/ Nacional de Celebração Esportiva</w:t>
      </w:r>
    </w:p>
    <w:p w:rsidR="00B143F6" w:rsidRPr="00B143F6" w:rsidRDefault="00B143F6" w:rsidP="00B143F6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pt-BR"/>
        </w:rPr>
      </w:pPr>
      <w:r w:rsidRPr="00B143F6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pt-BR"/>
        </w:rPr>
        <w:t>1. Contextualização da Campanha Logística</w:t>
      </w:r>
    </w:p>
    <w:p w:rsidR="00B143F6" w:rsidRPr="00B143F6" w:rsidRDefault="00B143F6" w:rsidP="00B143F6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B143F6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Após a conquista de um </w:t>
      </w: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resultado</w:t>
      </w:r>
      <w:r w:rsidRPr="00B143F6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esportivo de grande relevância nacional, a marca de bebidas em parceria com a plataforma </w:t>
      </w:r>
      <w:r w:rsidR="00283EF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entregas rápi</w:t>
      </w:r>
      <w:bookmarkStart w:id="0" w:name="_GoBack"/>
      <w:bookmarkEnd w:id="0"/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das</w:t>
      </w:r>
      <w:r w:rsidRPr="00B143F6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lançou uma campanha nacional de celebração. A promoção concede a todos os torcedores e clientes elegíveis cadastrados no aplicativo o direito de retirar gratuitamente </w:t>
      </w:r>
      <w:proofErr w:type="gramStart"/>
      <w:r w:rsidRPr="00B143F6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1</w:t>
      </w:r>
      <w:proofErr w:type="gramEnd"/>
      <w:r w:rsidRPr="00B143F6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(uma) caixa de cerveja no dia do evento.</w:t>
      </w:r>
    </w:p>
    <w:p w:rsidR="00B143F6" w:rsidRPr="00B143F6" w:rsidRDefault="00B143F6" w:rsidP="00B143F6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</w:p>
    <w:p w:rsidR="00B143F6" w:rsidRPr="00B143F6" w:rsidRDefault="00B143F6" w:rsidP="00B143F6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B143F6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Para viabilizar uma operação desse porte, que envolve picos massivos de acesso concorrente e requisições simultâneas em todo o território nacional, a plataforma precisa coordenar uma rede logística composta por:</w:t>
      </w:r>
    </w:p>
    <w:p w:rsidR="00B143F6" w:rsidRPr="00B143F6" w:rsidRDefault="00B143F6" w:rsidP="00B143F6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B143F6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Plataforma Central e Hubs de Distribuição Regional;</w:t>
      </w:r>
    </w:p>
    <w:p w:rsidR="00B143F6" w:rsidRPr="00B143F6" w:rsidRDefault="00B143F6" w:rsidP="00B143F6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B143F6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Distribuidoras e Pontos de Venda (</w:t>
      </w:r>
      <w:proofErr w:type="spellStart"/>
      <w:r w:rsidRPr="00B143F6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PDVs</w:t>
      </w:r>
      <w:proofErr w:type="spellEnd"/>
      <w:r w:rsidRPr="00B143F6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) Parceiros;</w:t>
      </w:r>
    </w:p>
    <w:p w:rsidR="00B143F6" w:rsidRPr="00B143F6" w:rsidRDefault="00B143F6" w:rsidP="00B143F6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proofErr w:type="gramStart"/>
      <w:r w:rsidRPr="00B143F6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Frota de Entregadores (Motos e Bicicletas) cadastradas por distribuidora</w:t>
      </w:r>
      <w:proofErr w:type="gramEnd"/>
      <w:r w:rsidRPr="00B143F6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;</w:t>
      </w:r>
    </w:p>
    <w:p w:rsidR="00B143F6" w:rsidRPr="00B143F6" w:rsidRDefault="00B143F6" w:rsidP="00B143F6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B143F6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Clientes/Torcedores elegíveis distribuídos em diversas cidades do Brasil.</w:t>
      </w:r>
    </w:p>
    <w:p w:rsidR="00B143F6" w:rsidRPr="00B143F6" w:rsidRDefault="00B143F6" w:rsidP="00B143F6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pt-BR"/>
        </w:rPr>
      </w:pPr>
      <w:r w:rsidRPr="00B143F6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pt-BR"/>
        </w:rPr>
        <w:t>2. Mapeamento das Áreas de Convergência e Atividades Operacionais</w:t>
      </w:r>
    </w:p>
    <w:p w:rsidR="00B143F6" w:rsidRPr="00B143F6" w:rsidRDefault="00B143F6" w:rsidP="00B143F6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B143F6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Conforme registrado em quadro durante a aula, a estrutura operacional divide-se nas seguintes Áreas de Convergência (A.C.) e Atividades Operacionais:</w:t>
      </w:r>
    </w:p>
    <w:p w:rsidR="00B143F6" w:rsidRPr="00B143F6" w:rsidRDefault="00B143F6" w:rsidP="00B143F6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</w:p>
    <w:tbl>
      <w:tblPr>
        <w:tblStyle w:val="SombreamentoClaro-nfase5"/>
        <w:tblW w:w="0" w:type="auto"/>
        <w:tblLook w:val="04A0" w:firstRow="1" w:lastRow="0" w:firstColumn="1" w:lastColumn="0" w:noHBand="0" w:noVBand="1"/>
      </w:tblPr>
      <w:tblGrid>
        <w:gridCol w:w="336"/>
        <w:gridCol w:w="2568"/>
        <w:gridCol w:w="5816"/>
      </w:tblGrid>
      <w:tr w:rsidR="00B143F6" w:rsidRPr="00B143F6" w:rsidTr="00B143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143F6" w:rsidRPr="00B143F6" w:rsidRDefault="00B143F6" w:rsidP="00B143F6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hideMark/>
          </w:tcPr>
          <w:p w:rsidR="00B143F6" w:rsidRPr="00B143F6" w:rsidRDefault="00B143F6" w:rsidP="00B143F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pt-BR"/>
              </w:rPr>
            </w:pPr>
            <w:r w:rsidRPr="00B143F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>Áreas de Convergência (A.C.)</w:t>
            </w:r>
          </w:p>
        </w:tc>
        <w:tc>
          <w:tcPr>
            <w:tcW w:w="0" w:type="auto"/>
            <w:hideMark/>
          </w:tcPr>
          <w:p w:rsidR="00B143F6" w:rsidRPr="00B143F6" w:rsidRDefault="00B143F6" w:rsidP="00B143F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pt-BR"/>
              </w:rPr>
            </w:pPr>
            <w:r w:rsidRPr="00B143F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>Atividades Operacionais Associadas</w:t>
            </w:r>
          </w:p>
        </w:tc>
      </w:tr>
      <w:tr w:rsidR="00B143F6" w:rsidRPr="00B143F6" w:rsidTr="00B143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143F6" w:rsidRPr="00B143F6" w:rsidRDefault="00B143F6" w:rsidP="00B143F6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pt-BR"/>
              </w:rPr>
            </w:pPr>
            <w:proofErr w:type="gramStart"/>
            <w:r w:rsidRPr="00B143F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>1</w:t>
            </w:r>
            <w:proofErr w:type="gramEnd"/>
          </w:p>
        </w:tc>
        <w:tc>
          <w:tcPr>
            <w:tcW w:w="0" w:type="auto"/>
            <w:hideMark/>
          </w:tcPr>
          <w:p w:rsidR="00B143F6" w:rsidRPr="00B143F6" w:rsidRDefault="00B143F6" w:rsidP="00B143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pt-BR"/>
              </w:rPr>
            </w:pPr>
            <w:r w:rsidRPr="00B143F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>Gerência Geral</w:t>
            </w:r>
          </w:p>
        </w:tc>
        <w:tc>
          <w:tcPr>
            <w:tcW w:w="0" w:type="auto"/>
            <w:hideMark/>
          </w:tcPr>
          <w:p w:rsidR="00B143F6" w:rsidRPr="00B143F6" w:rsidRDefault="00B143F6" w:rsidP="00B143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pt-BR"/>
              </w:rPr>
            </w:pPr>
            <w:r w:rsidRPr="00B143F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>Supervisão geral das operações.</w:t>
            </w:r>
          </w:p>
        </w:tc>
      </w:tr>
      <w:tr w:rsidR="00B143F6" w:rsidRPr="00B143F6" w:rsidTr="00B143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143F6" w:rsidRPr="00B143F6" w:rsidRDefault="00B143F6" w:rsidP="00B143F6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pt-BR"/>
              </w:rPr>
            </w:pPr>
            <w:proofErr w:type="gramStart"/>
            <w:r w:rsidRPr="00B143F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>2</w:t>
            </w:r>
            <w:proofErr w:type="gramEnd"/>
          </w:p>
        </w:tc>
        <w:tc>
          <w:tcPr>
            <w:tcW w:w="0" w:type="auto"/>
            <w:hideMark/>
          </w:tcPr>
          <w:p w:rsidR="00B143F6" w:rsidRPr="00B143F6" w:rsidRDefault="00B143F6" w:rsidP="00B143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pt-BR"/>
              </w:rPr>
            </w:pPr>
            <w:r w:rsidRPr="00B143F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>RH</w:t>
            </w:r>
          </w:p>
        </w:tc>
        <w:tc>
          <w:tcPr>
            <w:tcW w:w="0" w:type="auto"/>
            <w:hideMark/>
          </w:tcPr>
          <w:p w:rsidR="00B143F6" w:rsidRPr="00B143F6" w:rsidRDefault="00B143F6" w:rsidP="00B143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pt-BR"/>
              </w:rPr>
            </w:pPr>
            <w:r w:rsidRPr="00B143F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>Gestão de recursos humanos e suporte operacional.</w:t>
            </w:r>
          </w:p>
        </w:tc>
      </w:tr>
      <w:tr w:rsidR="00B143F6" w:rsidRPr="00B143F6" w:rsidTr="00B143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143F6" w:rsidRPr="00B143F6" w:rsidRDefault="00B143F6" w:rsidP="00B143F6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pt-BR"/>
              </w:rPr>
            </w:pPr>
            <w:proofErr w:type="gramStart"/>
            <w:r w:rsidRPr="00B143F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>3</w:t>
            </w:r>
            <w:proofErr w:type="gramEnd"/>
          </w:p>
        </w:tc>
        <w:tc>
          <w:tcPr>
            <w:tcW w:w="0" w:type="auto"/>
            <w:hideMark/>
          </w:tcPr>
          <w:p w:rsidR="00B143F6" w:rsidRPr="00B143F6" w:rsidRDefault="00B143F6" w:rsidP="00B143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pt-BR"/>
              </w:rPr>
            </w:pPr>
            <w:r w:rsidRPr="00B143F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>Marketing</w:t>
            </w:r>
          </w:p>
        </w:tc>
        <w:tc>
          <w:tcPr>
            <w:tcW w:w="0" w:type="auto"/>
            <w:hideMark/>
          </w:tcPr>
          <w:p w:rsidR="00B143F6" w:rsidRPr="00B143F6" w:rsidRDefault="00B143F6" w:rsidP="00B143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pt-BR"/>
              </w:rPr>
            </w:pPr>
            <w:proofErr w:type="gramStart"/>
            <w:r w:rsidRPr="00B143F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>3.1 Campanha</w:t>
            </w:r>
            <w:proofErr w:type="gramEnd"/>
            <w:r w:rsidRPr="00B143F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 xml:space="preserve"> de Marketing:</w:t>
            </w:r>
            <w:r w:rsidRPr="00B143F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 xml:space="preserve"> Regras da promoção e elegibilidade.</w:t>
            </w:r>
          </w:p>
        </w:tc>
      </w:tr>
      <w:tr w:rsidR="00B143F6" w:rsidRPr="00B143F6" w:rsidTr="00B143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143F6" w:rsidRPr="00B143F6" w:rsidRDefault="00B143F6" w:rsidP="00B143F6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pt-BR"/>
              </w:rPr>
            </w:pPr>
            <w:proofErr w:type="gramStart"/>
            <w:r w:rsidRPr="00B143F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>4</w:t>
            </w:r>
            <w:proofErr w:type="gramEnd"/>
          </w:p>
        </w:tc>
        <w:tc>
          <w:tcPr>
            <w:tcW w:w="0" w:type="auto"/>
            <w:hideMark/>
          </w:tcPr>
          <w:p w:rsidR="00B143F6" w:rsidRPr="00B143F6" w:rsidRDefault="00B143F6" w:rsidP="00B143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pt-BR"/>
              </w:rPr>
            </w:pPr>
            <w:r w:rsidRPr="00B143F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>Logística Ext.</w:t>
            </w:r>
          </w:p>
        </w:tc>
        <w:tc>
          <w:tcPr>
            <w:tcW w:w="0" w:type="auto"/>
            <w:hideMark/>
          </w:tcPr>
          <w:p w:rsidR="00B143F6" w:rsidRPr="00B143F6" w:rsidRDefault="00B143F6" w:rsidP="00B143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pt-BR"/>
              </w:rPr>
            </w:pPr>
            <w:r w:rsidRPr="00B143F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 xml:space="preserve">4.1 Entrega / </w:t>
            </w:r>
            <w:proofErr w:type="gramStart"/>
            <w:r w:rsidRPr="00B143F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>Delivery</w:t>
            </w:r>
            <w:proofErr w:type="gramEnd"/>
            <w:r w:rsidRPr="00B143F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>:</w:t>
            </w:r>
            <w:r w:rsidRPr="00B143F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pt-BR"/>
              </w:rPr>
              <w:t xml:space="preserve"> Operação e despacho da frota.</w:t>
            </w:r>
          </w:p>
          <w:p w:rsidR="00B143F6" w:rsidRPr="00B143F6" w:rsidRDefault="00B143F6" w:rsidP="00B143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pt-BR"/>
              </w:rPr>
            </w:pPr>
            <w:r w:rsidRPr="00B143F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 xml:space="preserve">4.2 </w:t>
            </w:r>
            <w:proofErr w:type="gramStart"/>
            <w:r w:rsidRPr="00B143F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>Otimização</w:t>
            </w:r>
            <w:proofErr w:type="gramEnd"/>
            <w:r w:rsidRPr="00B143F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 xml:space="preserve"> de Rotas:</w:t>
            </w:r>
            <w:r w:rsidRPr="00B143F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pt-BR"/>
              </w:rPr>
              <w:t xml:space="preserve"> Definição dos trajetos de entrega.</w:t>
            </w:r>
          </w:p>
          <w:p w:rsidR="00B143F6" w:rsidRPr="00B143F6" w:rsidRDefault="00B143F6" w:rsidP="00B143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pt-BR"/>
              </w:rPr>
            </w:pPr>
          </w:p>
        </w:tc>
      </w:tr>
      <w:tr w:rsidR="00B143F6" w:rsidRPr="00B143F6" w:rsidTr="00B143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143F6" w:rsidRPr="00B143F6" w:rsidRDefault="00B143F6" w:rsidP="00B143F6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pt-BR"/>
              </w:rPr>
            </w:pPr>
            <w:proofErr w:type="gramStart"/>
            <w:r w:rsidRPr="00B143F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>5</w:t>
            </w:r>
            <w:proofErr w:type="gramEnd"/>
          </w:p>
        </w:tc>
        <w:tc>
          <w:tcPr>
            <w:tcW w:w="0" w:type="auto"/>
            <w:hideMark/>
          </w:tcPr>
          <w:p w:rsidR="00B143F6" w:rsidRPr="00B143F6" w:rsidRDefault="00B143F6" w:rsidP="00B143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pt-BR"/>
              </w:rPr>
            </w:pPr>
            <w:r w:rsidRPr="00B143F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>Logística Int.</w:t>
            </w:r>
          </w:p>
        </w:tc>
        <w:tc>
          <w:tcPr>
            <w:tcW w:w="0" w:type="auto"/>
            <w:hideMark/>
          </w:tcPr>
          <w:p w:rsidR="00B143F6" w:rsidRPr="00B143F6" w:rsidRDefault="00B143F6" w:rsidP="00B143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pt-BR"/>
              </w:rPr>
            </w:pPr>
            <w:proofErr w:type="gramStart"/>
            <w:r w:rsidRPr="00B143F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>5.1 Abastecimento</w:t>
            </w:r>
            <w:proofErr w:type="gramEnd"/>
            <w:r w:rsidRPr="00B143F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 xml:space="preserve"> de Canais de Distribuição:</w:t>
            </w:r>
            <w:r w:rsidRPr="00B143F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 xml:space="preserve"> Movimentação entre canais.</w:t>
            </w:r>
          </w:p>
        </w:tc>
      </w:tr>
      <w:tr w:rsidR="00B143F6" w:rsidRPr="00B143F6" w:rsidTr="00B143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143F6" w:rsidRPr="00B143F6" w:rsidRDefault="00B143F6" w:rsidP="00B143F6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pt-BR"/>
              </w:rPr>
            </w:pPr>
            <w:proofErr w:type="gramStart"/>
            <w:r w:rsidRPr="00B143F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>6</w:t>
            </w:r>
            <w:proofErr w:type="gramEnd"/>
          </w:p>
        </w:tc>
        <w:tc>
          <w:tcPr>
            <w:tcW w:w="0" w:type="auto"/>
            <w:hideMark/>
          </w:tcPr>
          <w:p w:rsidR="00B143F6" w:rsidRPr="00B143F6" w:rsidRDefault="00B143F6" w:rsidP="00B143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pt-BR"/>
              </w:rPr>
            </w:pPr>
            <w:r w:rsidRPr="00B143F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>Produção / Operações</w:t>
            </w:r>
          </w:p>
        </w:tc>
        <w:tc>
          <w:tcPr>
            <w:tcW w:w="0" w:type="auto"/>
            <w:hideMark/>
          </w:tcPr>
          <w:p w:rsidR="00B143F6" w:rsidRPr="00B143F6" w:rsidRDefault="00B143F6" w:rsidP="00B143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pt-BR"/>
              </w:rPr>
            </w:pPr>
            <w:proofErr w:type="gramStart"/>
            <w:r w:rsidRPr="00B143F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>6.1 Gestão</w:t>
            </w:r>
            <w:proofErr w:type="gramEnd"/>
            <w:r w:rsidRPr="00B143F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 xml:space="preserve"> de Estoque:</w:t>
            </w:r>
            <w:r w:rsidRPr="00B143F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 xml:space="preserve"> Controle do saldo de caixas nos pontos de distribuição.</w:t>
            </w:r>
          </w:p>
        </w:tc>
      </w:tr>
      <w:tr w:rsidR="00B143F6" w:rsidRPr="00B143F6" w:rsidTr="00B143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143F6" w:rsidRPr="00B143F6" w:rsidRDefault="00B143F6" w:rsidP="00B143F6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pt-BR"/>
              </w:rPr>
            </w:pPr>
            <w:proofErr w:type="gramStart"/>
            <w:r w:rsidRPr="00B143F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>7</w:t>
            </w:r>
            <w:proofErr w:type="gramEnd"/>
          </w:p>
        </w:tc>
        <w:tc>
          <w:tcPr>
            <w:tcW w:w="0" w:type="auto"/>
            <w:hideMark/>
          </w:tcPr>
          <w:p w:rsidR="00B143F6" w:rsidRPr="00B143F6" w:rsidRDefault="00B143F6" w:rsidP="00B143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pt-BR"/>
              </w:rPr>
            </w:pPr>
            <w:r w:rsidRPr="00B143F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>Finanças</w:t>
            </w:r>
          </w:p>
        </w:tc>
        <w:tc>
          <w:tcPr>
            <w:tcW w:w="0" w:type="auto"/>
            <w:hideMark/>
          </w:tcPr>
          <w:p w:rsidR="00B143F6" w:rsidRPr="00B143F6" w:rsidRDefault="00B143F6" w:rsidP="00B143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pt-BR"/>
              </w:rPr>
            </w:pPr>
            <w:r w:rsidRPr="00B143F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>Apuração de custos e controle financeiro.</w:t>
            </w:r>
          </w:p>
        </w:tc>
      </w:tr>
      <w:tr w:rsidR="00B143F6" w:rsidRPr="00B143F6" w:rsidTr="00B143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143F6" w:rsidRPr="00B143F6" w:rsidRDefault="00B143F6" w:rsidP="00B143F6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pt-BR"/>
              </w:rPr>
            </w:pPr>
            <w:proofErr w:type="gramStart"/>
            <w:r w:rsidRPr="00B143F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>8</w:t>
            </w:r>
            <w:proofErr w:type="gramEnd"/>
          </w:p>
        </w:tc>
        <w:tc>
          <w:tcPr>
            <w:tcW w:w="0" w:type="auto"/>
            <w:hideMark/>
          </w:tcPr>
          <w:p w:rsidR="00B143F6" w:rsidRPr="00B143F6" w:rsidRDefault="00B143F6" w:rsidP="00B143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pt-BR"/>
              </w:rPr>
            </w:pPr>
            <w:r w:rsidRPr="00B143F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>Comercial</w:t>
            </w:r>
          </w:p>
        </w:tc>
        <w:tc>
          <w:tcPr>
            <w:tcW w:w="0" w:type="auto"/>
            <w:hideMark/>
          </w:tcPr>
          <w:p w:rsidR="00B143F6" w:rsidRPr="00B143F6" w:rsidRDefault="00B143F6" w:rsidP="00B143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pt-BR"/>
              </w:rPr>
            </w:pPr>
            <w:proofErr w:type="gramStart"/>
            <w:r w:rsidRPr="00B143F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>8.1 Captação</w:t>
            </w:r>
            <w:proofErr w:type="gramEnd"/>
            <w:r w:rsidRPr="00B143F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 xml:space="preserve"> de Distribuidoras:</w:t>
            </w:r>
            <w:r w:rsidRPr="00B143F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pt-BR"/>
              </w:rPr>
              <w:t xml:space="preserve"> Credenciamento e expansão de novos pontos parceiros.</w:t>
            </w:r>
          </w:p>
        </w:tc>
      </w:tr>
    </w:tbl>
    <w:p w:rsidR="00B143F6" w:rsidRPr="00B143F6" w:rsidRDefault="00B143F6" w:rsidP="00B143F6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pt-BR"/>
        </w:rPr>
      </w:pPr>
      <w:r w:rsidRPr="00B143F6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pt-BR"/>
        </w:rPr>
        <w:lastRenderedPageBreak/>
        <w:t xml:space="preserve">3. Tarefas </w:t>
      </w:r>
      <w:r w:rsidR="0037559A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pt-BR"/>
        </w:rPr>
        <w:t>/ Entregáveis</w:t>
      </w:r>
      <w:proofErr w:type="gramStart"/>
      <w:r w:rsidR="0037559A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pt-BR"/>
        </w:rPr>
        <w:t xml:space="preserve"> </w:t>
      </w:r>
      <w:r w:rsidRPr="00B143F6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pt-BR"/>
        </w:rPr>
        <w:t xml:space="preserve"> </w:t>
      </w:r>
      <w:proofErr w:type="gramEnd"/>
      <w:r w:rsidRPr="00B143F6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pt-BR"/>
        </w:rPr>
        <w:t>(Para Execução em Grupo)</w:t>
      </w:r>
    </w:p>
    <w:p w:rsidR="00B143F6" w:rsidRPr="00B143F6" w:rsidRDefault="00B143F6" w:rsidP="00B143F6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B143F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Identificar Características de Desempenho</w:t>
      </w:r>
    </w:p>
    <w:p w:rsidR="00B143F6" w:rsidRPr="0037559A" w:rsidRDefault="00B143F6" w:rsidP="00B143F6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37559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Identificar Integrações entre Áreas de Convergência (A.C.)</w:t>
      </w:r>
    </w:p>
    <w:p w:rsidR="00B143F6" w:rsidRPr="00B143F6" w:rsidRDefault="00B143F6" w:rsidP="00B143F6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B143F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 xml:space="preserve">Ajustar o Estudo de Caso 1 para </w:t>
      </w:r>
      <w:proofErr w:type="gramStart"/>
      <w:r w:rsidRPr="00B143F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implementar</w:t>
      </w:r>
      <w:proofErr w:type="gramEnd"/>
      <w:r w:rsidRPr="00B143F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 xml:space="preserve"> a Campanha Atual</w:t>
      </w:r>
    </w:p>
    <w:sectPr w:rsidR="00B143F6" w:rsidRPr="00B143F6">
      <w:head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A2224" w:rsidRDefault="001A2224" w:rsidP="00B143F6">
      <w:pPr>
        <w:spacing w:after="0" w:line="240" w:lineRule="auto"/>
      </w:pPr>
      <w:r>
        <w:separator/>
      </w:r>
    </w:p>
  </w:endnote>
  <w:endnote w:type="continuationSeparator" w:id="0">
    <w:p w:rsidR="001A2224" w:rsidRDefault="001A2224" w:rsidP="00B143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A2224" w:rsidRDefault="001A2224" w:rsidP="00B143F6">
      <w:pPr>
        <w:spacing w:after="0" w:line="240" w:lineRule="auto"/>
      </w:pPr>
      <w:r>
        <w:separator/>
      </w:r>
    </w:p>
  </w:footnote>
  <w:footnote w:type="continuationSeparator" w:id="0">
    <w:p w:rsidR="001A2224" w:rsidRDefault="001A2224" w:rsidP="00B143F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143F6" w:rsidRDefault="00B143F6">
    <w:pPr>
      <w:pStyle w:val="Cabealho"/>
    </w:pPr>
    <w:r>
      <w:t>Disciplina: Tópicos Especiais em Banco de Dados</w:t>
    </w:r>
  </w:p>
  <w:p w:rsidR="00B143F6" w:rsidRDefault="00B143F6">
    <w:pPr>
      <w:pStyle w:val="Cabealho"/>
    </w:pPr>
    <w:r>
      <w:t>Prof. Antônio Cordeiro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4884C8E"/>
    <w:multiLevelType w:val="multilevel"/>
    <w:tmpl w:val="68C604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7F454158"/>
    <w:multiLevelType w:val="multilevel"/>
    <w:tmpl w:val="FD101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06ACB"/>
    <w:rsid w:val="001A2224"/>
    <w:rsid w:val="00283EF4"/>
    <w:rsid w:val="0037559A"/>
    <w:rsid w:val="00706ACB"/>
    <w:rsid w:val="007F21B3"/>
    <w:rsid w:val="0092168D"/>
    <w:rsid w:val="00B143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B143F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B143F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143F6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B143F6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styleId="Forte">
    <w:name w:val="Strong"/>
    <w:basedOn w:val="Fontepargpadro"/>
    <w:uiPriority w:val="22"/>
    <w:qFormat/>
    <w:rsid w:val="00B143F6"/>
    <w:rPr>
      <w:b/>
      <w:bCs/>
    </w:rPr>
  </w:style>
  <w:style w:type="table" w:styleId="SombreamentoClaro-nfase5">
    <w:name w:val="Light Shading Accent 5"/>
    <w:basedOn w:val="Tabelanormal"/>
    <w:uiPriority w:val="60"/>
    <w:rsid w:val="00B143F6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paragraph" w:styleId="Cabealho">
    <w:name w:val="header"/>
    <w:basedOn w:val="Normal"/>
    <w:link w:val="CabealhoChar"/>
    <w:uiPriority w:val="99"/>
    <w:unhideWhenUsed/>
    <w:rsid w:val="00B143F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143F6"/>
  </w:style>
  <w:style w:type="paragraph" w:styleId="Rodap">
    <w:name w:val="footer"/>
    <w:basedOn w:val="Normal"/>
    <w:link w:val="RodapChar"/>
    <w:uiPriority w:val="99"/>
    <w:unhideWhenUsed/>
    <w:rsid w:val="00B143F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143F6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B143F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B143F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143F6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B143F6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styleId="Forte">
    <w:name w:val="Strong"/>
    <w:basedOn w:val="Fontepargpadro"/>
    <w:uiPriority w:val="22"/>
    <w:qFormat/>
    <w:rsid w:val="00B143F6"/>
    <w:rPr>
      <w:b/>
      <w:bCs/>
    </w:rPr>
  </w:style>
  <w:style w:type="table" w:styleId="SombreamentoClaro-nfase5">
    <w:name w:val="Light Shading Accent 5"/>
    <w:basedOn w:val="Tabelanormal"/>
    <w:uiPriority w:val="60"/>
    <w:rsid w:val="00B143F6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paragraph" w:styleId="Cabealho">
    <w:name w:val="header"/>
    <w:basedOn w:val="Normal"/>
    <w:link w:val="CabealhoChar"/>
    <w:uiPriority w:val="99"/>
    <w:unhideWhenUsed/>
    <w:rsid w:val="00B143F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143F6"/>
  </w:style>
  <w:style w:type="paragraph" w:styleId="Rodap">
    <w:name w:val="footer"/>
    <w:basedOn w:val="Normal"/>
    <w:link w:val="RodapChar"/>
    <w:uiPriority w:val="99"/>
    <w:unhideWhenUsed/>
    <w:rsid w:val="00B143F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143F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198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customXml" Target="../customXml/item1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0AA48A479804F408CB8B90214D9E740" ma:contentTypeVersion="1" ma:contentTypeDescription="Crie um novo documento." ma:contentTypeScope="" ma:versionID="80aece14e1c98c5d03e5d2d309013ad5">
  <xsd:schema xmlns:xsd="http://www.w3.org/2001/XMLSchema" xmlns:xs="http://www.w3.org/2001/XMLSchema" xmlns:p="http://schemas.microsoft.com/office/2006/metadata/properties" xmlns:ns2="42a91d6b-2b3b-4795-bdc0-55336ef9bb48" targetNamespace="http://schemas.microsoft.com/office/2006/metadata/properties" ma:root="true" ma:fieldsID="928c28088c204f254c315ba0561d7b0a" ns2:_="">
    <xsd:import namespace="42a91d6b-2b3b-4795-bdc0-55336ef9bb48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a91d6b-2b3b-4795-bdc0-55336ef9bb48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42a91d6b-2b3b-4795-bdc0-55336ef9bb48" xsi:nil="true"/>
  </documentManagement>
</p:properties>
</file>

<file path=customXml/itemProps1.xml><?xml version="1.0" encoding="utf-8"?>
<ds:datastoreItem xmlns:ds="http://schemas.openxmlformats.org/officeDocument/2006/customXml" ds:itemID="{C4F94415-AC37-4575-A23E-56523C2258CE}"/>
</file>

<file path=customXml/itemProps2.xml><?xml version="1.0" encoding="utf-8"?>
<ds:datastoreItem xmlns:ds="http://schemas.openxmlformats.org/officeDocument/2006/customXml" ds:itemID="{D5027E8B-AFC3-4A0C-9C01-06243A8CD1B6}"/>
</file>

<file path=customXml/itemProps3.xml><?xml version="1.0" encoding="utf-8"?>
<ds:datastoreItem xmlns:ds="http://schemas.openxmlformats.org/officeDocument/2006/customXml" ds:itemID="{AE52F990-D273-443F-A943-A8A0E5FBCF2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335</Words>
  <Characters>1814</Characters>
  <Application>Microsoft Office Word</Application>
  <DocSecurity>0</DocSecurity>
  <Lines>15</Lines>
  <Paragraphs>4</Paragraphs>
  <ScaleCrop>false</ScaleCrop>
  <Company/>
  <LinksUpToDate>false</LinksUpToDate>
  <CharactersWithSpaces>2145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antonio.cordeiro</dc:creator>
  <cp:keywords/>
  <dc:description/>
  <cp:lastModifiedBy>antonio.cordeiro</cp:lastModifiedBy>
  <cp:revision>4</cp:revision>
  <dcterms:created xsi:type="dcterms:W3CDTF">2026-09-14T15:14:00Z</dcterms:created>
  <dcterms:modified xsi:type="dcterms:W3CDTF">2026-09-14T15:34:00Z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0x010100C0AA48A479804F408CB8B90214D9E740</vt:lpwstr>
  </property>
</Properties>
</file>