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60"/>
        <w:jc w:val="center"/>
      </w:pPr>
      <w:r>
        <w:rPr>
          <w:rFonts w:ascii="Arial" w:cs="Arial" w:eastAsia="Arial" w:hAnsi="Arial"/>
          <w:b/>
          <w:bCs/>
          <w:color w:val="1E3A5F"/>
          <w:sz w:val="60"/>
          <w:szCs w:val="60"/>
        </w:rPr>
        <w:t xml:space="preserve">ECOMMERCE ANALYTICS PROJECT</w:t>
      </w:r>
    </w:p>
    <w:p>
      <w:pPr>
        <w:spacing w:after="60"/>
        <w:jc w:val="center"/>
      </w:pPr>
      <w:r>
        <w:rPr>
          <w:rFonts w:ascii="Arial" w:cs="Arial" w:eastAsia="Arial" w:hAnsi="Arial"/>
          <w:i/>
          <w:iCs/>
          <w:color w:val="2563EB"/>
          <w:sz w:val="32"/>
          <w:szCs w:val="32"/>
        </w:rPr>
        <w:t xml:space="preserve">From One Observation to a Full Business Recommendation</w:t>
      </w:r>
    </w:p>
    <w:p>
      <w:pPr>
        <w:pBdr>
          <w:bottom w:val="single" w:color="2563EB" w:sz="12" w:space="8"/>
        </w:pBdr>
        <w:spacing w:after="400"/>
        <w:jc w:val="center"/>
      </w:pPr>
      <w:r>
        <w:rPr>
          <w:rFonts w:ascii="Arial" w:cs="Arial" w:eastAsia="Arial" w:hAnsi="Arial"/>
          <w:color w:val="64748B"/>
          <w:sz w:val="24"/>
          <w:szCs w:val="24"/>
        </w:rPr>
        <w:t xml:space="preserve">Beauty &amp; Nail Supplies  ·  October 2019 – February 2020</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80"/>
              <w:left w:type="dxa" w:w="120"/>
              <w:bottom w:type="dxa" w:w="180"/>
              <w:right w:type="dxa" w:w="120"/>
            </w:tcMar>
          </w:tcPr>
          <w:p>
            <w:pPr>
              <w:jc w:val="center"/>
            </w:pPr>
            <w:r>
              <w:rPr>
                <w:rFonts w:ascii="Arial" w:cs="Arial" w:eastAsia="Arial" w:hAnsi="Arial"/>
                <w:b/>
                <w:bCs/>
                <w:color w:val="CA8A04"/>
                <w:sz w:val="52"/>
                <w:szCs w:val="52"/>
              </w:rPr>
              <w:t xml:space="preserve">20.7M</w:t>
            </w:r>
          </w:p>
          <w:p>
            <w:pPr>
              <w:jc w:val="center"/>
            </w:pPr>
            <w:r>
              <w:rPr>
                <w:rFonts w:ascii="Arial" w:cs="Arial" w:eastAsia="Arial" w:hAnsi="Arial"/>
                <w:color w:val="FFFFFF"/>
                <w:sz w:val="20"/>
                <w:szCs w:val="20"/>
              </w:rPr>
              <w:t xml:space="preserve">Total Events</w:t>
            </w:r>
          </w:p>
        </w:tc>
        <w:tc>
          <w:tcPr>
            <w:tcW w:type="dxa" w:w="2340"/>
            <w:tcBorders>
              <w:top w:val="single" w:color="CCCCCC" w:sz="1"/>
              <w:left w:val="single" w:color="CCCCCC" w:sz="1"/>
              <w:bottom w:val="single" w:color="CCCCCC" w:sz="1"/>
              <w:right w:val="single" w:color="CCCCCC" w:sz="1"/>
            </w:tcBorders>
            <w:shd w:fill="1E3A5F" w:val="clear"/>
            <w:tcMar>
              <w:top w:type="dxa" w:w="180"/>
              <w:left w:type="dxa" w:w="120"/>
              <w:bottom w:type="dxa" w:w="180"/>
              <w:right w:type="dxa" w:w="120"/>
            </w:tcMar>
          </w:tcPr>
          <w:p>
            <w:pPr>
              <w:jc w:val="center"/>
            </w:pPr>
            <w:r>
              <w:rPr>
                <w:rFonts w:ascii="Arial" w:cs="Arial" w:eastAsia="Arial" w:hAnsi="Arial"/>
                <w:b/>
                <w:bCs/>
                <w:color w:val="CA8A04"/>
                <w:sz w:val="52"/>
                <w:szCs w:val="52"/>
              </w:rPr>
              <w:t xml:space="preserve">$6.35M</w:t>
            </w:r>
          </w:p>
          <w:p>
            <w:pPr>
              <w:jc w:val="center"/>
            </w:pPr>
            <w:r>
              <w:rPr>
                <w:rFonts w:ascii="Arial" w:cs="Arial" w:eastAsia="Arial" w:hAnsi="Arial"/>
                <w:color w:val="FFFFFF"/>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1E3A5F" w:val="clear"/>
            <w:tcMar>
              <w:top w:type="dxa" w:w="180"/>
              <w:left w:type="dxa" w:w="120"/>
              <w:bottom w:type="dxa" w:w="180"/>
              <w:right w:type="dxa" w:w="120"/>
            </w:tcMar>
          </w:tcPr>
          <w:p>
            <w:pPr>
              <w:jc w:val="center"/>
            </w:pPr>
            <w:r>
              <w:rPr>
                <w:rFonts w:ascii="Arial" w:cs="Arial" w:eastAsia="Arial" w:hAnsi="Arial"/>
                <w:b/>
                <w:bCs/>
                <w:color w:val="CA8A04"/>
                <w:sz w:val="52"/>
                <w:szCs w:val="52"/>
              </w:rPr>
              <w:t xml:space="preserve">72,225</w:t>
            </w:r>
          </w:p>
          <w:p>
            <w:pPr>
              <w:jc w:val="center"/>
            </w:pPr>
            <w:r>
              <w:rPr>
                <w:rFonts w:ascii="Arial" w:cs="Arial" w:eastAsia="Arial" w:hAnsi="Arial"/>
                <w:color w:val="FFFFFF"/>
                <w:sz w:val="20"/>
                <w:szCs w:val="20"/>
              </w:rPr>
              <w:t xml:space="preserve">Customers Scored</w:t>
            </w:r>
          </w:p>
        </w:tc>
        <w:tc>
          <w:tcPr>
            <w:tcW w:type="dxa" w:w="2340"/>
            <w:tcBorders>
              <w:top w:val="single" w:color="CCCCCC" w:sz="1"/>
              <w:left w:val="single" w:color="CCCCCC" w:sz="1"/>
              <w:bottom w:val="single" w:color="CCCCCC" w:sz="1"/>
              <w:right w:val="single" w:color="CCCCCC" w:sz="1"/>
            </w:tcBorders>
            <w:shd w:fill="1E3A5F" w:val="clear"/>
            <w:tcMar>
              <w:top w:type="dxa" w:w="180"/>
              <w:left w:type="dxa" w:w="120"/>
              <w:bottom w:type="dxa" w:w="180"/>
              <w:right w:type="dxa" w:w="120"/>
            </w:tcMar>
          </w:tcPr>
          <w:p>
            <w:pPr>
              <w:jc w:val="center"/>
            </w:pPr>
            <w:r>
              <w:rPr>
                <w:rFonts w:ascii="Arial" w:cs="Arial" w:eastAsia="Arial" w:hAnsi="Arial"/>
                <w:b/>
                <w:bCs/>
                <w:color w:val="CA8A04"/>
                <w:sz w:val="52"/>
                <w:szCs w:val="52"/>
              </w:rPr>
              <w:t xml:space="preserve">0.783</w:t>
            </w:r>
          </w:p>
          <w:p>
            <w:pPr>
              <w:jc w:val="center"/>
            </w:pPr>
            <w:r>
              <w:rPr>
                <w:rFonts w:ascii="Arial" w:cs="Arial" w:eastAsia="Arial" w:hAnsi="Arial"/>
                <w:color w:val="FFFFFF"/>
                <w:sz w:val="20"/>
                <w:szCs w:val="20"/>
              </w:rPr>
              <w:t xml:space="preserve">Model AUC</w:t>
            </w:r>
          </w:p>
        </w:tc>
      </w:tr>
    </w:tbl>
    <w:p>
      <w:pPr>
        <w:spacing w:after="400"/>
      </w:pPr>
    </w:p>
    <w:p>
      <w:pPr>
        <w:spacing w:after="80"/>
        <w:jc w:val="center"/>
      </w:pPr>
      <w:r>
        <w:rPr>
          <w:rFonts w:ascii="Arial" w:cs="Arial" w:eastAsia="Arial" w:hAnsi="Arial"/>
          <w:color w:val="64748B"/>
          <w:sz w:val="20"/>
          <w:szCs w:val="20"/>
        </w:rPr>
        <w:t xml:space="preserve">Tools:  Python  ·  DuckDB SQL  ·  scikit-learn  ·  Facebook Prophet  ·  Plotly  ·  Google Colab</w:t>
      </w:r>
    </w:p>
    <w:p>
      <w:r>
        <w:br w:type="page"/>
      </w:r>
    </w:p>
    <w:p>
      <w:pPr>
        <w:pStyle w:val="Heading1"/>
        <w:pBdr>
          <w:bottom w:val="single" w:color="2563EB" w:sz="8" w:space="4"/>
        </w:pBdr>
        <w:spacing w:before="320" w:after="140"/>
      </w:pPr>
      <w:r>
        <w:rPr>
          <w:rFonts w:ascii="Arial" w:cs="Arial" w:eastAsia="Arial" w:hAnsi="Arial"/>
          <w:b/>
          <w:bCs/>
          <w:color w:val="1E3A5F"/>
          <w:sz w:val="36"/>
          <w:szCs w:val="36"/>
        </w:rPr>
        <w:t xml:space="preserve">Executive Summary — The Business Questions We Answered</w:t>
      </w:r>
    </w:p>
    <w:p>
      <w:pPr>
        <w:spacing w:after="140"/>
      </w:pPr>
      <w:r>
        <w:rPr>
          <w:rFonts w:ascii="Arial" w:cs="Arial" w:eastAsia="Arial" w:hAnsi="Arial"/>
          <w:b w:val="false"/>
          <w:bCs w:val="false"/>
          <w:color w:val="1e293b"/>
          <w:sz w:val="22"/>
          <w:szCs w:val="22"/>
        </w:rPr>
        <w:t xml:space="preserve">A business owner approached this analysis with one vague concern: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2"/>
              <w:left w:val="single" w:color="1E3A5F" w:sz="40"/>
              <w:bottom w:val="single" w:color="1E3A5F" w:sz="12"/>
              <w:right w:val="single" w:color="1E3A5F" w:sz="12"/>
            </w:tcBorders>
            <w:shd w:fill="F0F4FF" w:val="clear"/>
            <w:tcMar>
              <w:top w:type="dxa" w:w="200"/>
              <w:left w:type="dxa" w:w="240"/>
              <w:bottom w:type="dxa" w:w="200"/>
              <w:right w:type="dxa" w:w="240"/>
            </w:tcMar>
          </w:tcPr>
          <w:p>
            <w:pPr>
              <w:spacing w:after="80"/>
              <w:jc w:val="center"/>
            </w:pPr>
            <w:r>
              <w:rPr>
                <w:rFonts w:ascii="Arial" w:cs="Arial" w:eastAsia="Arial" w:hAnsi="Arial"/>
                <w:i/>
                <w:iCs/>
                <w:color w:val="1E3A5F"/>
                <w:sz w:val="26"/>
                <w:szCs w:val="26"/>
              </w:rPr>
              <w:t xml:space="preserve">“Our sales feel inconsistent, we spend on customers who don’t come back,</w:t>
            </w:r>
          </w:p>
          <w:p>
            <w:pPr>
              <w:spacing w:after="80"/>
              <w:jc w:val="center"/>
            </w:pPr>
            <w:r>
              <w:rPr>
                <w:rFonts w:ascii="Arial" w:cs="Arial" w:eastAsia="Arial" w:hAnsi="Arial"/>
                <w:i/>
                <w:iCs/>
                <w:color w:val="1E3A5F"/>
                <w:sz w:val="26"/>
                <w:szCs w:val="26"/>
              </w:rPr>
              <w:t xml:space="preserve">and we have no idea what next quarter looks like.”</w:t>
            </w:r>
          </w:p>
          <w:p>
            <w:pPr>
              <w:spacing w:after="0"/>
              <w:jc w:val="center"/>
            </w:pPr>
            <w:r>
              <w:rPr>
                <w:rFonts w:ascii="Arial" w:cs="Arial" w:eastAsia="Arial" w:hAnsi="Arial"/>
                <w:color w:val="64748B"/>
                <w:sz w:val="20"/>
                <w:szCs w:val="20"/>
              </w:rPr>
              <w:t xml:space="preserve">— The Business Owner</w:t>
            </w:r>
          </w:p>
        </w:tc>
      </w:tr>
    </w:tbl>
    <w:p>
      <w:pPr>
        <w:spacing w:after="200"/>
      </w:pPr>
    </w:p>
    <w:p>
      <w:pPr>
        <w:pStyle w:val="Heading1"/>
        <w:pBdr>
          <w:bottom w:val="single" w:color="2563EB" w:sz="8" w:space="4"/>
        </w:pBdr>
        <w:spacing w:before="320" w:after="140"/>
      </w:pPr>
      <w:r>
        <w:rPr>
          <w:rFonts w:ascii="Arial" w:cs="Arial" w:eastAsia="Arial" w:hAnsi="Arial"/>
          <w:b/>
          <w:bCs/>
          <w:color w:val="1E3A5F"/>
          <w:sz w:val="36"/>
          <w:szCs w:val="36"/>
        </w:rPr>
        <w:t xml:space="preserve">Where This Analysis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2"/>
              <w:left w:val="single" w:color="EA580C" w:sz="40"/>
              <w:bottom w:val="single" w:color="EA580C" w:sz="12"/>
              <w:right w:val="single" w:color="EA580C" w:sz="12"/>
            </w:tcBorders>
            <w:shd w:fill="FFF7ED" w:val="clear"/>
            <w:tcMar>
              <w:top w:type="dxa" w:w="200"/>
              <w:left w:type="dxa" w:w="240"/>
              <w:bottom w:type="dxa" w:w="200"/>
              <w:right w:type="dxa" w:w="240"/>
            </w:tcMar>
          </w:tcPr>
          <w:p>
            <w:pPr>
              <w:spacing w:after="100"/>
              <w:jc w:val="center"/>
            </w:pPr>
            <w:r>
              <w:rPr>
                <w:rFonts w:ascii="Arial" w:cs="Arial" w:eastAsia="Arial" w:hAnsi="Arial"/>
                <w:b/>
                <w:bCs/>
                <w:color w:val="EA580C"/>
                <w:sz w:val="24"/>
                <w:szCs w:val="24"/>
              </w:rPr>
              <w:t xml:space="preserve">The Opening Observation  —  December 2019 Data</w:t>
            </w:r>
          </w:p>
          <w:p>
            <w:pPr>
              <w:spacing w:after="0"/>
              <w:jc w:val="center"/>
            </w:pPr>
            <w:r>
              <w:rPr>
                <w:rFonts w:ascii="Arial" w:cs="Arial" w:eastAsia="Arial" w:hAnsi="Arial"/>
                <w:i/>
                <w:iCs/>
                <w:color w:val="1E3A5F"/>
                <w:sz w:val="28"/>
                <w:szCs w:val="28"/>
              </w:rPr>
              <w:t xml:space="preserve">“The concern for the business is people are browsing and adding to cart but not buying.”</w:t>
            </w:r>
          </w:p>
        </w:tc>
      </w:tr>
    </w:tbl>
    <w:p>
      <w:pPr>
        <w:spacing w:after="180"/>
      </w:pPr>
    </w:p>
    <w:p>
      <w:pPr>
        <w:spacing w:after="140"/>
      </w:pPr>
      <w:r>
        <w:rPr>
          <w:rFonts w:ascii="Arial" w:cs="Arial" w:eastAsia="Arial" w:hAnsi="Arial"/>
          <w:b w:val="false"/>
          <w:bCs w:val="false"/>
          <w:color w:val="1e293b"/>
          <w:sz w:val="22"/>
          <w:szCs w:val="22"/>
        </w:rPr>
        <w:t xml:space="preserve">This single sentence — noticed while exploring December 2019 data for the first time — became the foundation of everything that followed. We started with December because it was the most recent complete month. The very first SQL query confirmed the concern immediately: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2496"/>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Stage — December 2019</w:t>
            </w:r>
          </w:p>
        </w:tc>
        <w:tc>
          <w:tcPr>
            <w:tcW w:type="dxa" w:w="1872"/>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Users</w:t>
            </w:r>
          </w:p>
        </w:tc>
        <w:tc>
          <w:tcPr>
            <w:tcW w:type="dxa" w:w="1872"/>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of Previous</w:t>
            </w:r>
          </w:p>
        </w:tc>
        <w:tc>
          <w:tcPr>
            <w:tcW w:type="dxa" w:w="2496"/>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This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Viewed a product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358,212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100%</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People arrived and browsed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Added to cart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83,458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23.3%</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Showed genuine intent to buy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Completed purchase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25,613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30.7%</w:t>
            </w:r>
          </w:p>
        </w:tc>
        <w:tc>
          <w:tcPr>
            <w:tcW w:type="dxa" w:w="2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Only 3 in 10 cart adds converted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0"/>
              <w:bottom w:val="single" w:color="EA580C" w:sz="6"/>
              <w:right w:val="single" w:color="EA580C" w:sz="6"/>
            </w:tcBorders>
            <w:shd w:fill="FFF7ED"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The Number That Drove Everything</w:t>
            </w:r>
          </w:p>
          <w:p>
            <w:pPr>
              <w:spacing w:after="0"/>
            </w:pPr>
            <w:r>
              <w:rPr>
                <w:rFonts w:ascii="Arial" w:cs="Arial" w:eastAsia="Arial" w:hAnsi="Arial"/>
                <w:color w:val="334155"/>
                <w:sz w:val="21"/>
                <w:szCs w:val="21"/>
              </w:rPr>
              <w:t xml:space="preserve">70% of customers who added to cart in December never purchased. That is the core business problem. Every query, every model, and every recommendation in this report traces back to understanding and solving that one number.</w:t>
            </w:r>
          </w:p>
        </w:tc>
      </w:tr>
    </w:tbl>
    <w:p>
      <w:pPr>
        <w:spacing w:after="180"/>
      </w:pPr>
    </w:p>
    <w:p>
      <w:pPr>
        <w:pStyle w:val="Heading2"/>
        <w:spacing w:before="240" w:after="100"/>
      </w:pPr>
      <w:r>
        <w:rPr>
          <w:rFonts w:ascii="Arial" w:cs="Arial" w:eastAsia="Arial" w:hAnsi="Arial"/>
          <w:b/>
          <w:bCs/>
          <w:color w:val="1E3A5F"/>
          <w:sz w:val="28"/>
          <w:szCs w:val="28"/>
        </w:rPr>
        <w:t xml:space="preserve">How One Observation Became a Full Project</w:t>
      </w:r>
    </w:p>
    <w:p>
      <w:pPr>
        <w:spacing w:after="140"/>
      </w:pPr>
      <w:r>
        <w:rPr>
          <w:rFonts w:ascii="Arial" w:cs="Arial" w:eastAsia="Arial" w:hAnsi="Arial"/>
          <w:b w:val="false"/>
          <w:bCs w:val="false"/>
          <w:color w:val="1e293b"/>
          <w:sz w:val="22"/>
          <w:szCs w:val="22"/>
        </w:rPr>
        <w:t xml:space="preserve">Each answer naturally raised the next question. This is how the analysis grew: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60"/>
        <w:gridCol w:w="2700"/>
        <w:gridCol w:w="3300"/>
      </w:tblGrid>
      <w:tr>
        <w:tc>
          <w:tcPr>
            <w:tcW w:type="dxa" w:w="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w:r>
          </w:p>
        </w:tc>
        <w:tc>
          <w:tcPr>
            <w:tcW w:type="dxa" w:w="30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We Found</w:t>
            </w:r>
          </w:p>
        </w:tc>
        <w:tc>
          <w:tcPr>
            <w:tcW w:type="dxa" w:w="2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Question It Raised</w:t>
            </w:r>
          </w:p>
        </w:tc>
        <w:tc>
          <w:tcPr>
            <w:tcW w:type="dxa" w:w="3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Where It Led</w:t>
            </w:r>
          </w:p>
        </w:tc>
      </w:tr>
      <w:tr>
        <w:tc>
          <w:tcPr>
            <w:tcW w:type="dxa" w:w="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December: 70% cart abandonment confirmed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EA580C"/>
                <w:sz w:val="20"/>
                <w:szCs w:val="20"/>
              </w:rPr>
              <w:t xml:space="preserve">Is this just December or every month?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Extended to Oct–Feb — 5 month analysis</w:t>
            </w:r>
          </w:p>
        </w:tc>
      </w:tr>
      <w:tr>
        <w:tc>
          <w:tcPr>
            <w:tcW w:type="dxa" w:w="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All months show the same 70% abandonment rate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EA580C"/>
                <w:sz w:val="20"/>
                <w:szCs w:val="20"/>
              </w:rPr>
              <w:t xml:space="preserve">Which products are losing the most money?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Product-level abandonment — strong, marathon, uno</w:t>
            </w:r>
          </w:p>
        </w:tc>
      </w:tr>
      <w:tr>
        <w:tc>
          <w:tcPr>
            <w:tcW w:type="dxa" w:w="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November revenue spiked +26% then December crashed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EA580C"/>
                <w:sz w:val="20"/>
                <w:szCs w:val="20"/>
              </w:rPr>
              <w:t xml:space="preserve">Why did December drop so sharply?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Demand cannibalization — Black Friday pulled forward</w:t>
            </w:r>
          </w:p>
        </w:tc>
      </w:tr>
      <w:tr>
        <w:tc>
          <w:tcPr>
            <w:tcW w:type="dxa" w:w="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80–90% of new customers never return after month 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EA580C"/>
                <w:sz w:val="20"/>
                <w:szCs w:val="20"/>
              </w:rPr>
              <w:t xml:space="preserve">Can we identify who is about to churn?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Cohort → RFM segmentation → churn model</w:t>
            </w:r>
          </w:p>
        </w:tc>
      </w:tr>
      <w:tr>
        <w:tc>
          <w:tcPr>
            <w:tcW w:type="dxa" w:w="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Churn model AUC 0.783 — 22,868 high-risk customers found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EA580C"/>
                <w:sz w:val="20"/>
                <w:szCs w:val="20"/>
              </w:rPr>
              <w:t xml:space="preserve">What will revenue look like if nothing changes?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Prophet forecast — flat at $1.2M/month</w:t>
            </w:r>
          </w:p>
        </w:tc>
      </w:tr>
      <w:tr>
        <w:tc>
          <w:tcPr>
            <w:tcW w:type="dxa" w:w="3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Flat revenue trend confirmed — no organic growth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EA580C"/>
                <w:sz w:val="20"/>
                <w:szCs w:val="20"/>
              </w:rPr>
              <w:t xml:space="preserve">What should the business actually do?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Prioritised $1.2M recovery action plan</w:t>
            </w:r>
          </w:p>
        </w:tc>
      </w:tr>
    </w:tbl>
    <w:p>
      <w:pPr>
        <w:spacing w:after="140"/>
      </w:pPr>
    </w:p>
    <w:p>
      <w:pPr>
        <w:spacing w:after="140"/>
      </w:pPr>
      <w:r>
        <w:rPr>
          <w:rFonts w:ascii="Arial" w:cs="Arial" w:eastAsia="Arial" w:hAnsi="Arial"/>
          <w:b w:val="false"/>
          <w:bCs w:val="false"/>
          <w:color w:val="64748B"/>
          <w:sz w:val="22"/>
          <w:szCs w:val="22"/>
        </w:rPr>
        <w:t xml:space="preserve">This is what good analysis looks like: you do not plan the whole project upfront. You start with one honest observation, follow the data where it leads, and let each answer generate the next question.</w:t>
      </w:r>
    </w:p>
    <w:p>
      <w:r>
        <w:br w:type="page"/>
      </w:r>
    </w:p>
    <w:p>
      <w:pPr>
        <w:pStyle w:val="Heading1"/>
        <w:pBdr>
          <w:bottom w:val="single" w:color="2563EB" w:sz="8" w:space="4"/>
        </w:pBdr>
        <w:spacing w:before="320" w:after="140"/>
      </w:pPr>
      <w:r>
        <w:rPr>
          <w:rFonts w:ascii="Arial" w:cs="Arial" w:eastAsia="Arial" w:hAnsi="Arial"/>
          <w:b/>
          <w:bCs/>
          <w:color w:val="1E3A5F"/>
          <w:sz w:val="36"/>
          <w:szCs w:val="36"/>
        </w:rPr>
        <w:t xml:space="preserve">Executive Summary — The Three Questions We Answered</w:t>
      </w:r>
    </w:p>
    <w:p>
      <w:pPr>
        <w:spacing w:after="140"/>
      </w:pPr>
      <w:r>
        <w:rPr>
          <w:rFonts w:ascii="Arial" w:cs="Arial" w:eastAsia="Arial" w:hAnsi="Arial"/>
          <w:b w:val="false"/>
          <w:bCs w:val="false"/>
          <w:color w:val="1e293b"/>
          <w:sz w:val="22"/>
          <w:szCs w:val="22"/>
        </w:rPr>
        <w:t xml:space="preserve">Following that opening observation through the data, we ultimately answered three business questions with measurable dollar values attached to each recommendation: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A580C" w:sz="6"/>
              <w:left w:val="single" w:color="EA580C" w:sz="20"/>
              <w:bottom w:val="single" w:color="EA580C" w:sz="6"/>
              <w:right w:val="single" w:color="CCCCCC" w:sz="2"/>
            </w:tcBorders>
            <w:shd w:fill="FFF7ED" w:val="clear"/>
            <w:tcMar>
              <w:top w:type="dxa" w:w="120"/>
              <w:left w:type="dxa" w:w="160"/>
              <w:bottom w:type="dxa" w:w="120"/>
              <w:right w:type="dxa" w:w="160"/>
            </w:tcMar>
          </w:tcPr>
          <w:p>
            <w:pPr>
              <w:spacing w:after="60"/>
            </w:pPr>
            <w:r>
              <w:rPr>
                <w:rFonts w:ascii="Arial" w:cs="Arial" w:eastAsia="Arial" w:hAnsi="Arial"/>
                <w:b/>
                <w:bCs/>
                <w:color w:val="EA580C"/>
                <w:sz w:val="20"/>
                <w:szCs w:val="20"/>
              </w:rPr>
              <w:t xml:space="preserve">❓  Stakeholder Question</w:t>
            </w:r>
          </w:p>
          <w:p>
            <w:pPr>
              <w:spacing w:after="0"/>
            </w:pPr>
            <w:r>
              <w:rPr>
                <w:rFonts w:ascii="Arial" w:cs="Arial" w:eastAsia="Arial" w:hAnsi="Arial"/>
                <w:i/>
                <w:iCs/>
                <w:color w:val="1e293b"/>
                <w:sz w:val="21"/>
                <w:szCs w:val="21"/>
              </w:rPr>
              <w:t xml:space="preserve">Where exactly are we losing revenue in the customer journey?</w:t>
            </w:r>
          </w:p>
        </w:tc>
        <w:tc>
          <w:tcPr>
            <w:tcW w:type="dxa" w:w="4800"/>
            <w:tcBorders>
              <w:top w:val="single" w:color="16A34A" w:sz="6"/>
              <w:left w:val="single" w:color="CCCCCC" w:sz="2"/>
              <w:bottom w:val="single" w:color="16A34A" w:sz="6"/>
              <w:right w:val="single" w:color="16A34A" w:sz="20"/>
            </w:tcBorders>
            <w:shd w:fill="F0FDF4" w:val="clear"/>
            <w:tcMar>
              <w:top w:type="dxa" w:w="120"/>
              <w:left w:type="dxa" w:w="160"/>
              <w:bottom w:type="dxa" w:w="120"/>
              <w:right w:type="dxa" w:w="160"/>
            </w:tcMar>
          </w:tcPr>
          <w:p>
            <w:pPr>
              <w:spacing w:after="60"/>
            </w:pPr>
            <w:r>
              <w:rPr>
                <w:rFonts w:ascii="Arial" w:cs="Arial" w:eastAsia="Arial" w:hAnsi="Arial"/>
                <w:b/>
                <w:bCs/>
                <w:color w:val="16A34A"/>
                <w:sz w:val="20"/>
                <w:szCs w:val="20"/>
              </w:rPr>
              <w:t xml:space="preserve">✅  Data Answer</w:t>
            </w:r>
          </w:p>
          <w:p>
            <w:pPr>
              <w:spacing w:after="0"/>
            </w:pPr>
            <w:r>
              <w:rPr>
                <w:rFonts w:ascii="Arial" w:cs="Arial" w:eastAsia="Arial" w:hAnsi="Arial"/>
                <w:color w:val="1e293b"/>
                <w:sz w:val="21"/>
                <w:szCs w:val="21"/>
              </w:rPr>
              <w:t xml:space="preserve">70% of customers who add to cart never purchase. Cart abandonment alone costs an estimated $635K+ per year. November Black Friday cannibalized December demand.</w:t>
            </w:r>
          </w:p>
        </w:tc>
      </w:tr>
      <w:tr>
        <w:tc>
          <w:tcPr>
            <w:tcW w:type="dxa" w:w="9360"/>
            <w:gridSpan w:val="2"/>
            <w:tcBorders>
              <w:top w:val="single" w:color="CCCCCC" w:sz="1"/>
              <w:left w:val="single" w:color="1E3A5F" w:sz="20"/>
              <w:bottom w:val="single" w:color="1E3A5F" w:sz="6"/>
              <w:right w:val="single" w:color="1E3A5F" w:sz="20"/>
            </w:tcBorders>
            <w:shd w:fill="F8FAFF" w:val="clear"/>
            <w:tcMar>
              <w:top w:type="dxa" w:w="100"/>
              <w:left w:type="dxa" w:w="160"/>
              <w:bottom w:type="dxa" w:w="100"/>
              <w:right w:type="dxa" w:w="160"/>
            </w:tcMar>
          </w:tcPr>
          <w:p>
            <w:r>
              <w:rPr>
                <w:rFonts w:ascii="Arial" w:cs="Arial" w:eastAsia="Arial" w:hAnsi="Arial"/>
                <w:b/>
                <w:bCs/>
                <w:color w:val="1E3A5F"/>
                <w:sz w:val="21"/>
                <w:szCs w:val="21"/>
              </w:rPr>
              <w:t xml:space="preserve">▶  Recommendation:  </w:t>
            </w:r>
            <w:r>
              <w:rPr>
                <w:rFonts w:ascii="Arial" w:cs="Arial" w:eastAsia="Arial" w:hAnsi="Arial"/>
                <w:color w:val="1e293b"/>
                <w:sz w:val="21"/>
                <w:szCs w:val="21"/>
              </w:rPr>
              <w:t xml:space="preserve">Fix checkout friction for high-value items first. Send a 20-hour cart abandonment email. Plan December promotions independently of November.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A580C" w:sz="6"/>
              <w:left w:val="single" w:color="EA580C" w:sz="20"/>
              <w:bottom w:val="single" w:color="EA580C" w:sz="6"/>
              <w:right w:val="single" w:color="CCCCCC" w:sz="2"/>
            </w:tcBorders>
            <w:shd w:fill="FFF7ED" w:val="clear"/>
            <w:tcMar>
              <w:top w:type="dxa" w:w="120"/>
              <w:left w:type="dxa" w:w="160"/>
              <w:bottom w:type="dxa" w:w="120"/>
              <w:right w:type="dxa" w:w="160"/>
            </w:tcMar>
          </w:tcPr>
          <w:p>
            <w:pPr>
              <w:spacing w:after="60"/>
            </w:pPr>
            <w:r>
              <w:rPr>
                <w:rFonts w:ascii="Arial" w:cs="Arial" w:eastAsia="Arial" w:hAnsi="Arial"/>
                <w:b/>
                <w:bCs/>
                <w:color w:val="EA580C"/>
                <w:sz w:val="20"/>
                <w:szCs w:val="20"/>
              </w:rPr>
              <w:t xml:space="preserve">❓  Stakeholder Question</w:t>
            </w:r>
          </w:p>
          <w:p>
            <w:pPr>
              <w:spacing w:after="0"/>
            </w:pPr>
            <w:r>
              <w:rPr>
                <w:rFonts w:ascii="Arial" w:cs="Arial" w:eastAsia="Arial" w:hAnsi="Arial"/>
                <w:i/>
                <w:iCs/>
                <w:color w:val="1e293b"/>
                <w:sz w:val="21"/>
                <w:szCs w:val="21"/>
              </w:rPr>
              <w:t xml:space="preserve">Which customers are about to stop buying — and can we predict it?</w:t>
            </w:r>
          </w:p>
        </w:tc>
        <w:tc>
          <w:tcPr>
            <w:tcW w:type="dxa" w:w="4800"/>
            <w:tcBorders>
              <w:top w:val="single" w:color="16A34A" w:sz="6"/>
              <w:left w:val="single" w:color="CCCCCC" w:sz="2"/>
              <w:bottom w:val="single" w:color="16A34A" w:sz="6"/>
              <w:right w:val="single" w:color="16A34A" w:sz="20"/>
            </w:tcBorders>
            <w:shd w:fill="F0FDF4" w:val="clear"/>
            <w:tcMar>
              <w:top w:type="dxa" w:w="120"/>
              <w:left w:type="dxa" w:w="160"/>
              <w:bottom w:type="dxa" w:w="120"/>
              <w:right w:type="dxa" w:w="160"/>
            </w:tcMar>
          </w:tcPr>
          <w:p>
            <w:pPr>
              <w:spacing w:after="60"/>
            </w:pPr>
            <w:r>
              <w:rPr>
                <w:rFonts w:ascii="Arial" w:cs="Arial" w:eastAsia="Arial" w:hAnsi="Arial"/>
                <w:b/>
                <w:bCs/>
                <w:color w:val="16A34A"/>
                <w:sz w:val="20"/>
                <w:szCs w:val="20"/>
              </w:rPr>
              <w:t xml:space="preserve">✅  Data Answer</w:t>
            </w:r>
          </w:p>
          <w:p>
            <w:pPr>
              <w:spacing w:after="0"/>
            </w:pPr>
            <w:r>
              <w:rPr>
                <w:rFonts w:ascii="Arial" w:cs="Arial" w:eastAsia="Arial" w:hAnsi="Arial"/>
                <w:color w:val="1e293b"/>
                <w:sz w:val="21"/>
                <w:szCs w:val="21"/>
              </w:rPr>
              <w:t xml:space="preserve">Our Random Forest model (AUC 0.783) identified 22,868 high-risk customers representing $612K in past revenue. Loyalty signals matter more than spend.</w:t>
            </w:r>
          </w:p>
        </w:tc>
      </w:tr>
      <w:tr>
        <w:tc>
          <w:tcPr>
            <w:tcW w:type="dxa" w:w="9360"/>
            <w:gridSpan w:val="2"/>
            <w:tcBorders>
              <w:top w:val="single" w:color="CCCCCC" w:sz="1"/>
              <w:left w:val="single" w:color="1E3A5F" w:sz="20"/>
              <w:bottom w:val="single" w:color="1E3A5F" w:sz="6"/>
              <w:right w:val="single" w:color="1E3A5F" w:sz="20"/>
            </w:tcBorders>
            <w:shd w:fill="F8FAFF" w:val="clear"/>
            <w:tcMar>
              <w:top w:type="dxa" w:w="100"/>
              <w:left w:type="dxa" w:w="160"/>
              <w:bottom w:type="dxa" w:w="100"/>
              <w:right w:type="dxa" w:w="160"/>
            </w:tcMar>
          </w:tcPr>
          <w:p>
            <w:r>
              <w:rPr>
                <w:rFonts w:ascii="Arial" w:cs="Arial" w:eastAsia="Arial" w:hAnsi="Arial"/>
                <w:b/>
                <w:bCs/>
                <w:color w:val="1E3A5F"/>
                <w:sz w:val="21"/>
                <w:szCs w:val="21"/>
              </w:rPr>
              <w:t xml:space="preserve">▶  Recommendation:  </w:t>
            </w:r>
            <w:r>
              <w:rPr>
                <w:rFonts w:ascii="Arial" w:cs="Arial" w:eastAsia="Arial" w:hAnsi="Arial"/>
                <w:color w:val="1e293b"/>
                <w:sz w:val="21"/>
                <w:szCs w:val="21"/>
              </w:rPr>
              <w:t xml:space="preserve">Re-engage Medium Risk customers first ($897K at risk, still reachable). Protect Champions — 15% of customers drive 31% of all revenue.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EA580C" w:sz="6"/>
              <w:left w:val="single" w:color="EA580C" w:sz="20"/>
              <w:bottom w:val="single" w:color="EA580C" w:sz="6"/>
              <w:right w:val="single" w:color="CCCCCC" w:sz="2"/>
            </w:tcBorders>
            <w:shd w:fill="F5F3FF" w:val="clear"/>
            <w:tcMar>
              <w:top w:type="dxa" w:w="120"/>
              <w:left w:type="dxa" w:w="160"/>
              <w:bottom w:type="dxa" w:w="120"/>
              <w:right w:type="dxa" w:w="160"/>
            </w:tcMar>
          </w:tcPr>
          <w:p>
            <w:pPr>
              <w:spacing w:after="60"/>
            </w:pPr>
            <w:r>
              <w:rPr>
                <w:rFonts w:ascii="Arial" w:cs="Arial" w:eastAsia="Arial" w:hAnsi="Arial"/>
                <w:b/>
                <w:bCs/>
                <w:color w:val="EA580C"/>
                <w:sz w:val="20"/>
                <w:szCs w:val="20"/>
              </w:rPr>
              <w:t xml:space="preserve">❓  Stakeholder Question</w:t>
            </w:r>
          </w:p>
          <w:p>
            <w:pPr>
              <w:spacing w:after="0"/>
            </w:pPr>
            <w:r>
              <w:rPr>
                <w:rFonts w:ascii="Arial" w:cs="Arial" w:eastAsia="Arial" w:hAnsi="Arial"/>
                <w:i/>
                <w:iCs/>
                <w:color w:val="1e293b"/>
                <w:sz w:val="21"/>
                <w:szCs w:val="21"/>
              </w:rPr>
              <w:t xml:space="preserve">What will revenue look like next quarter so we can plan budgets?</w:t>
            </w:r>
          </w:p>
        </w:tc>
        <w:tc>
          <w:tcPr>
            <w:tcW w:type="dxa" w:w="4800"/>
            <w:tcBorders>
              <w:top w:val="single" w:color="16A34A" w:sz="6"/>
              <w:left w:val="single" w:color="CCCCCC" w:sz="2"/>
              <w:bottom w:val="single" w:color="16A34A" w:sz="6"/>
              <w:right w:val="single" w:color="16A34A" w:sz="20"/>
            </w:tcBorders>
            <w:shd w:fill="FFFBEB" w:val="clear"/>
            <w:tcMar>
              <w:top w:type="dxa" w:w="120"/>
              <w:left w:type="dxa" w:w="160"/>
              <w:bottom w:type="dxa" w:w="120"/>
              <w:right w:type="dxa" w:w="160"/>
            </w:tcMar>
          </w:tcPr>
          <w:p>
            <w:pPr>
              <w:spacing w:after="60"/>
            </w:pPr>
            <w:r>
              <w:rPr>
                <w:rFonts w:ascii="Arial" w:cs="Arial" w:eastAsia="Arial" w:hAnsi="Arial"/>
                <w:b/>
                <w:bCs/>
                <w:color w:val="16A34A"/>
                <w:sz w:val="20"/>
                <w:szCs w:val="20"/>
              </w:rPr>
              <w:t xml:space="preserve">✅  Data Answer</w:t>
            </w:r>
          </w:p>
          <w:p>
            <w:pPr>
              <w:spacing w:after="0"/>
            </w:pPr>
            <w:r>
              <w:rPr>
                <w:rFonts w:ascii="Arial" w:cs="Arial" w:eastAsia="Arial" w:hAnsi="Arial"/>
                <w:color w:val="1e293b"/>
                <w:sz w:val="21"/>
                <w:szCs w:val="21"/>
              </w:rPr>
              <w:t xml:space="preserve">Prophet forecasts $1.2M–$1.3M/month for Mar–May 2020. The trend is flat — no organic growth without intervention. Thursday is the peak revenue day.</w:t>
            </w:r>
          </w:p>
        </w:tc>
      </w:tr>
      <w:tr>
        <w:tc>
          <w:tcPr>
            <w:tcW w:type="dxa" w:w="9360"/>
            <w:gridSpan w:val="2"/>
            <w:tcBorders>
              <w:top w:val="single" w:color="CCCCCC" w:sz="1"/>
              <w:left w:val="single" w:color="1E3A5F" w:sz="20"/>
              <w:bottom w:val="single" w:color="1E3A5F" w:sz="6"/>
              <w:right w:val="single" w:color="1E3A5F" w:sz="20"/>
            </w:tcBorders>
            <w:shd w:fill="F8FAFF" w:val="clear"/>
            <w:tcMar>
              <w:top w:type="dxa" w:w="100"/>
              <w:left w:type="dxa" w:w="160"/>
              <w:bottom w:type="dxa" w:w="100"/>
              <w:right w:type="dxa" w:w="160"/>
            </w:tcMar>
          </w:tcPr>
          <w:p>
            <w:r>
              <w:rPr>
                <w:rFonts w:ascii="Arial" w:cs="Arial" w:eastAsia="Arial" w:hAnsi="Arial"/>
                <w:b/>
                <w:bCs/>
                <w:color w:val="1E3A5F"/>
                <w:sz w:val="21"/>
                <w:szCs w:val="21"/>
              </w:rPr>
              <w:t xml:space="preserve">▶  Recommendation:  </w:t>
            </w:r>
            <w:r>
              <w:rPr>
                <w:rFonts w:ascii="Arial" w:cs="Arial" w:eastAsia="Arial" w:hAnsi="Arial"/>
                <w:color w:val="1e293b"/>
                <w:sz w:val="21"/>
                <w:szCs w:val="21"/>
              </w:rPr>
              <w:t xml:space="preserve">Budget conservatively at $1.2M/month. To grow beyond flat, the business must improve retention or expand product range. Schedule all spend on Thu–Fri mornings.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30"/>
              <w:bottom w:val="single" w:color="16A34A" w:sz="8"/>
              <w:right w:val="single" w:color="16A34A" w:sz="8"/>
            </w:tcBorders>
            <w:shd w:fill="F0FDF4" w:val="clear"/>
            <w:tcMar>
              <w:top w:type="dxa" w:w="160"/>
              <w:left w:type="dxa" w:w="200"/>
              <w:bottom w:type="dxa" w:w="160"/>
              <w:right w:type="dxa" w:w="200"/>
            </w:tcMar>
          </w:tcPr>
          <w:p>
            <w:pPr>
              <w:spacing w:after="80"/>
            </w:pPr>
            <w:r>
              <w:rPr>
                <w:rFonts w:ascii="Arial" w:cs="Arial" w:eastAsia="Arial" w:hAnsi="Arial"/>
                <w:b/>
                <w:bCs/>
                <w:color w:val="16A34A"/>
                <w:sz w:val="24"/>
                <w:szCs w:val="24"/>
              </w:rPr>
              <w:t xml:space="preserve">★  Bottom Line for the Business</w:t>
            </w:r>
          </w:p>
          <w:p>
            <w:pPr>
              <w:spacing w:after="80"/>
            </w:pPr>
            <w:r>
              <w:rPr>
                <w:rFonts w:ascii="Arial" w:cs="Arial" w:eastAsia="Arial" w:hAnsi="Arial"/>
                <w:color w:val="1e293b"/>
                <w:sz w:val="22"/>
                <w:szCs w:val="22"/>
              </w:rPr>
              <w:t xml:space="preserve">This store generates $6.35M over 5 months but is operating on a flat growth trajectory. The single biggest opportunity is cart abandonment recovery ($635K+/yr). The second biggest is customer re-engagement — $1.7M in revenue sits in At-Risk and Lost segments that have already proven they buy.</w:t>
            </w:r>
          </w:p>
          <w:p>
            <w:pPr>
              <w:spacing w:after="0"/>
            </w:pPr>
            <w:r>
              <w:rPr>
                <w:rFonts w:ascii="Arial" w:cs="Arial" w:eastAsia="Arial" w:hAnsi="Arial"/>
                <w:b/>
                <w:bCs/>
                <w:color w:val="16A34A"/>
                <w:sz w:val="22"/>
                <w:szCs w:val="22"/>
              </w:rPr>
              <w:t xml:space="preserve">Total recoverable revenue identified through this analysis: approximately $2.3M annually.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1   </w:t>
            </w:r>
            <w:r>
              <w:rPr>
                <w:rFonts w:ascii="Arial" w:cs="Arial" w:eastAsia="Arial" w:hAnsi="Arial"/>
                <w:b/>
                <w:bCs/>
                <w:color w:val="FFFFFF"/>
                <w:sz w:val="26"/>
                <w:szCs w:val="26"/>
              </w:rPr>
              <w:t xml:space="preserve">THE DATA</w:t>
            </w:r>
          </w:p>
        </w:tc>
      </w:tr>
    </w:tbl>
    <w:p>
      <w:pPr>
        <w:spacing w:after="120"/>
      </w:pPr>
    </w:p>
    <w:p>
      <w:pPr>
        <w:pStyle w:val="Heading2"/>
        <w:spacing w:before="240" w:after="100"/>
      </w:pPr>
      <w:r>
        <w:rPr>
          <w:rFonts w:ascii="Arial" w:cs="Arial" w:eastAsia="Arial" w:hAnsi="Arial"/>
          <w:b/>
          <w:bCs/>
          <w:color w:val="1E3A5F"/>
          <w:sz w:val="28"/>
          <w:szCs w:val="28"/>
        </w:rPr>
        <w:t xml:space="preserve">1.1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Source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Kaggle — eCommerce Events History in Cosmetics Shop</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Total rows</w:t>
            </w:r>
          </w:p>
        </w:tc>
        <w:tc>
          <w:tcPr>
            <w:tcW w:type="dxa" w:w="39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20,692,840 events across 5 CSV files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Date range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 Oct 2019 – 29 Feb 2020  (152 days)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Columns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event_time, event_type, product_id, category_id, category_code, brand, price, user_id, user_session</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Event types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view  |  cart  |  remove_from_cart  |  purchase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Loaded via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pandas.read_csv() + month label column + pd.concat() in Google Colab</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Query engine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DuckDB — SQL queries directly on pandas DataFrames, no database setup needed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126 negative-price records found (0.06% of purchases) — noted, not removed</w:t>
            </w:r>
          </w:p>
        </w:tc>
      </w:tr>
    </w:tbl>
    <w:p>
      <w:pPr>
        <w:spacing w:after="160"/>
      </w:pPr>
    </w:p>
    <w:p>
      <w:pPr>
        <w:pStyle w:val="Heading2"/>
        <w:spacing w:before="240" w:after="100"/>
      </w:pPr>
      <w:r>
        <w:rPr>
          <w:rFonts w:ascii="Arial" w:cs="Arial" w:eastAsia="Arial" w:hAnsi="Arial"/>
          <w:b/>
          <w:bCs/>
          <w:color w:val="1E3A5F"/>
          <w:sz w:val="28"/>
          <w:szCs w:val="28"/>
        </w:rPr>
        <w:t xml:space="preserve">1.2  Event Type Distribution (December 2019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Event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of Total</w:t>
            </w:r>
          </w:p>
        </w:tc>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1,728,331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User saw a product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remove_from_cart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664,655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User removed from cart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927,124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26.2%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User added to cart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purchase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213,176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User completed a purchase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2   </w:t>
            </w:r>
            <w:r>
              <w:rPr>
                <w:rFonts w:ascii="Arial" w:cs="Arial" w:eastAsia="Arial" w:hAnsi="Arial"/>
                <w:b/>
                <w:bCs/>
                <w:color w:val="FFFFFF"/>
                <w:sz w:val="26"/>
                <w:szCs w:val="26"/>
              </w:rPr>
              <w:t xml:space="preserve">SQL ANALYSIS — ANSWERING QUESTION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0"/>
              <w:bottom w:val="single" w:color="EA580C" w:sz="6"/>
              <w:right w:val="single" w:color="EA580C" w:sz="6"/>
            </w:tcBorders>
            <w:shd w:fill="FFF7ED"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Business Question 1</w:t>
            </w:r>
          </w:p>
          <w:p>
            <w:pPr>
              <w:spacing w:after="0"/>
            </w:pPr>
            <w:r>
              <w:rPr>
                <w:rFonts w:ascii="Arial" w:cs="Arial" w:eastAsia="Arial" w:hAnsi="Arial"/>
                <w:color w:val="334155"/>
                <w:sz w:val="21"/>
                <w:szCs w:val="21"/>
              </w:rPr>
              <w:t xml:space="preserve">Where exactly are we losing revenue in the customer journey?</w:t>
            </w:r>
          </w:p>
        </w:tc>
      </w:tr>
    </w:tbl>
    <w:p>
      <w:pPr>
        <w:spacing w:after="160"/>
      </w:pPr>
    </w:p>
    <w:p>
      <w:pPr>
        <w:pStyle w:val="Heading2"/>
        <w:spacing w:before="240" w:after="100"/>
      </w:pPr>
      <w:r>
        <w:rPr>
          <w:rFonts w:ascii="Arial" w:cs="Arial" w:eastAsia="Arial" w:hAnsi="Arial"/>
          <w:b/>
          <w:bCs/>
          <w:color w:val="1E3A5F"/>
          <w:sz w:val="28"/>
          <w:szCs w:val="28"/>
        </w:rPr>
        <w:t xml:space="preserve">2.1  Conversion Funnel</w:t>
      </w:r>
    </w:p>
    <w:p>
      <w:pPr>
        <w:spacing w:after="140"/>
      </w:pPr>
      <w:r>
        <w:rPr>
          <w:rFonts w:ascii="Arial" w:cs="Arial" w:eastAsia="Arial" w:hAnsi="Arial"/>
          <w:b w:val="false"/>
          <w:bCs w:val="false"/>
          <w:color w:val="1e293b"/>
          <w:sz w:val="22"/>
          <w:szCs w:val="22"/>
        </w:rPr>
        <w:t xml:space="preserve">The first query established the full customer journey across all 5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19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Stage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Customers</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of Previous</w:t>
            </w:r>
          </w:p>
        </w:tc>
        <w:tc>
          <w:tcPr>
            <w:tcW w:type="dxa" w:w="19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Drop-off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1. Visited the store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1,937,477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2. Added to cart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596,141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30.8%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69.2% lost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3. Completed purchase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128,893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21.6%</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78.4% lost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0"/>
              <w:bottom w:val="single" w:color="16A34A" w:sz="6"/>
              <w:right w:val="single" w:color="16A34A" w:sz="6"/>
            </w:tcBorders>
            <w:shd w:fill="F0FDF4"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Answer</w:t>
            </w:r>
          </w:p>
          <w:p>
            <w:pPr>
              <w:spacing w:after="0"/>
            </w:pPr>
            <w:r>
              <w:rPr>
                <w:rFonts w:ascii="Arial" w:cs="Arial" w:eastAsia="Arial" w:hAnsi="Arial"/>
                <w:color w:val="334155"/>
                <w:sz w:val="21"/>
                <w:szCs w:val="21"/>
              </w:rPr>
              <w:t xml:space="preserve">70% of customers who add to cart never purchase. The business converts at 6.6% overall — above the industry average of 1–3% — but the cart abandonment problem represents the single largest revenue leak.</w:t>
            </w:r>
          </w:p>
        </w:tc>
      </w:tr>
    </w:tbl>
    <w:p>
      <w:pPr>
        <w:spacing w:after="160"/>
      </w:pPr>
    </w:p>
    <w:p>
      <w:pPr>
        <w:pStyle w:val="Heading2"/>
        <w:spacing w:before="240" w:after="100"/>
      </w:pPr>
      <w:r>
        <w:rPr>
          <w:rFonts w:ascii="Arial" w:cs="Arial" w:eastAsia="Arial" w:hAnsi="Arial"/>
          <w:b/>
          <w:bCs/>
          <w:color w:val="1E3A5F"/>
          <w:sz w:val="28"/>
          <w:szCs w:val="28"/>
        </w:rPr>
        <w:t xml:space="preserve">2.2  Monthly Revenue — Where Did the Inconsistency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638"/>
        <w:gridCol w:w="1638"/>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w:t>
            </w:r>
          </w:p>
        </w:tc>
        <w:tc>
          <w:tcPr>
            <w:tcW w:type="dxa" w:w="1872"/>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Revenue</w:t>
            </w:r>
          </w:p>
        </w:tc>
        <w:tc>
          <w:tcPr>
            <w:tcW w:type="dxa" w:w="1872"/>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Buyers</w:t>
            </w:r>
          </w:p>
        </w:tc>
        <w:tc>
          <w:tcPr>
            <w:tcW w:type="dxa" w:w="163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Conversion</w:t>
            </w:r>
          </w:p>
        </w:tc>
        <w:tc>
          <w:tcPr>
            <w:tcW w:type="dxa" w:w="163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MoM Growth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Oct-2019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$1,212,094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25,762</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19.9%</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Baseline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Nov-2019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$1,531,509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31,524</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24.6%</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+26.3% ★</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Dec-2019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$1,078,165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25,613</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23.0%</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−29.6%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Jan-2020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$1,322,694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28,220</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23.0%</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+22.7%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Feb-2020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$1,207,369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25,759</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21.9%</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−8.7%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0"/>
              <w:bottom w:val="single" w:color="16A34A" w:sz="6"/>
              <w:right w:val="single" w:color="16A34A" w:sz="6"/>
            </w:tcBorders>
            <w:shd w:fill="F0FDF4"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Answer — The Inconsistency is Demand Cannibalization</w:t>
            </w:r>
          </w:p>
          <w:p>
            <w:pPr>
              <w:spacing w:after="0"/>
            </w:pPr>
            <w:r>
              <w:rPr>
                <w:rFonts w:ascii="Arial" w:cs="Arial" w:eastAsia="Arial" w:hAnsi="Arial"/>
                <w:color w:val="334155"/>
                <w:sz w:val="21"/>
                <w:szCs w:val="21"/>
              </w:rPr>
              <w:t xml:space="preserve">December's 30% revenue drop was not caused by pricing, conversion rate, or product issues — all three stayed stable. The drop was caused by 6,000 fewer buyers. The data shows November Black Friday promotions pulled those buyers forward, leaving December short. This is a planning and promotion timing problem, not an operational one.</w:t>
            </w:r>
          </w:p>
        </w:tc>
      </w:tr>
    </w:tbl>
    <w:p>
      <w:pPr>
        <w:spacing w:after="160"/>
      </w:pPr>
    </w:p>
    <w:p>
      <w:pPr>
        <w:pStyle w:val="Heading2"/>
        <w:spacing w:before="240" w:after="100"/>
      </w:pPr>
      <w:r>
        <w:rPr>
          <w:rFonts w:ascii="Arial" w:cs="Arial" w:eastAsia="Arial" w:hAnsi="Arial"/>
          <w:b/>
          <w:bCs/>
          <w:color w:val="1E3A5F"/>
          <w:sz w:val="28"/>
          <w:szCs w:val="28"/>
        </w:rPr>
        <w:t xml:space="preserve">2.3  Cart Abandonment — Which Products Are Bleeding Revenue?</w:t>
      </w:r>
    </w:p>
    <w:p>
      <w:pPr>
        <w:spacing w:after="140"/>
      </w:pPr>
      <w:r>
        <w:rPr>
          <w:rFonts w:ascii="Arial" w:cs="Arial" w:eastAsia="Arial" w:hAnsi="Arial"/>
          <w:b w:val="false"/>
          <w:bCs w:val="false"/>
          <w:color w:val="1e293b"/>
          <w:sz w:val="22"/>
          <w:szCs w:val="22"/>
        </w:rPr>
        <w:t xml:space="preserve">A product-level query identified the top revenue leaks by combining cart adds, purchases, and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8"/>
        <w:gridCol w:w="1638"/>
        <w:gridCol w:w="1638"/>
        <w:gridCol w:w="1638"/>
        <w:gridCol w:w="1638"/>
        <w:gridCol w:w="1170"/>
      </w:tblGrid>
      <w:tr>
        <w:tc>
          <w:tcPr>
            <w:tcW w:type="dxa" w:w="163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Brand</w:t>
            </w:r>
          </w:p>
        </w:tc>
        <w:tc>
          <w:tcPr>
            <w:tcW w:type="dxa" w:w="163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Price</w:t>
            </w:r>
          </w:p>
        </w:tc>
        <w:tc>
          <w:tcPr>
            <w:tcW w:type="dxa" w:w="163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Cart Adds</w:t>
            </w:r>
          </w:p>
        </w:tc>
        <w:tc>
          <w:tcPr>
            <w:tcW w:type="dxa" w:w="163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Purchases</w:t>
            </w:r>
          </w:p>
        </w:tc>
        <w:tc>
          <w:tcPr>
            <w:tcW w:type="dxa" w:w="1638"/>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Lost Revenue</w:t>
            </w:r>
          </w:p>
        </w:tc>
        <w:tc>
          <w:tcPr>
            <w:tcW w:type="dxa" w:w="117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Buy Rate</w:t>
            </w:r>
          </w:p>
        </w:tc>
      </w:tr>
      <w:tr>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strong</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$194</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255</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52</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$39,471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20.4%</w:t>
            </w:r>
          </w:p>
        </w:tc>
      </w:tr>
      <w:tr>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marathon</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$138</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329</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76</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$34,858</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23.1%</w:t>
            </w:r>
          </w:p>
        </w:tc>
      </w:tr>
      <w:tr>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jessnail</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$122</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161</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14</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$17,844</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9.3%</w:t>
            </w:r>
          </w:p>
        </w:tc>
      </w:tr>
      <w:tr>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uno</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187</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54</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$14,509</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29.4%</w:t>
            </w:r>
          </w:p>
        </w:tc>
      </w:tr>
      <w:tr>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grattol</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265</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131</w:t>
            </w:r>
          </w:p>
        </w:tc>
        <w:tc>
          <w:tcPr>
            <w:tcW w:type="dxa" w:w="16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$8,543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25.5%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Recommendation</w:t>
            </w:r>
          </w:p>
          <w:p>
            <w:pPr>
              <w:spacing w:after="0"/>
            </w:pPr>
            <w:r>
              <w:rPr>
                <w:rFonts w:ascii="Arial" w:cs="Arial" w:eastAsia="Arial" w:hAnsi="Arial"/>
                <w:color w:val="334155"/>
                <w:sz w:val="21"/>
                <w:szCs w:val="21"/>
              </w:rPr>
              <w:t xml:space="preserve">Fix checkout experience for high-price items ($100+) first — each recovered strong cart is worth $194. For cheap nail products, the issue is likely shipping cost shock; a free shipping threshold would address this class of abandonment at low cost.</w:t>
            </w:r>
          </w:p>
        </w:tc>
      </w:tr>
    </w:tbl>
    <w:p>
      <w:pPr>
        <w:spacing w:after="160"/>
      </w:pPr>
    </w:p>
    <w:p>
      <w:pPr>
        <w:pStyle w:val="Heading2"/>
        <w:spacing w:before="240" w:after="100"/>
      </w:pPr>
      <w:r>
        <w:rPr>
          <w:rFonts w:ascii="Arial" w:cs="Arial" w:eastAsia="Arial" w:hAnsi="Arial"/>
          <w:b/>
          <w:bCs/>
          <w:color w:val="1E3A5F"/>
          <w:sz w:val="28"/>
          <w:szCs w:val="28"/>
        </w:rPr>
        <w:t xml:space="preserve">2.4  SQL Concepts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Concept</w:t>
            </w:r>
          </w:p>
        </w:tc>
        <w:tc>
          <w:tcPr>
            <w:tcW w:type="dxa" w:w="61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Where Used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SELECT, WHERE, GROUP BY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Every query — event counts, revenue sums, user segmentation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CASE WHEN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Pivoting event_type rows into columns; month ordering; RFM scores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WITH — CTEs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Multi-step cohort, RFM, and abandonment queries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JOIN</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Matching purchases back to each user’s first-purchase month (cohort)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NULLIF()</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Safe division for conversion rates — avoids divide-by-zero</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LAG() OVER()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Month-over-month revenue growth rates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RANK() OVER(PARTITION BY)</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Brand revenue rankings independently within each month</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NTILE(4) OVER()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RFM scoring — splitting 72K users into 4 equal buckets per dimension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DATE_DIFF, EXTRACT</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Days since last purchase; hour of day; day of week patterns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SUM() OVER()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Percentage-of-total in single query (segment share of revenue)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HAVING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Filter users with at least one purchase before joining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3   </w:t>
            </w:r>
            <w:r>
              <w:rPr>
                <w:rFonts w:ascii="Arial" w:cs="Arial" w:eastAsia="Arial" w:hAnsi="Arial"/>
                <w:b/>
                <w:bCs/>
                <w:color w:val="FFFFFF"/>
                <w:sz w:val="26"/>
                <w:szCs w:val="26"/>
              </w:rPr>
              <w:t xml:space="preserve">CUSTOMER ANALYSIS — ANSWERING QUESTION 2 (PART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0"/>
              <w:bottom w:val="single" w:color="EA580C" w:sz="6"/>
              <w:right w:val="single" w:color="EA580C" w:sz="6"/>
            </w:tcBorders>
            <w:shd w:fill="FFF7ED"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Business Question 2</w:t>
            </w:r>
          </w:p>
          <w:p>
            <w:pPr>
              <w:spacing w:after="0"/>
            </w:pPr>
            <w:r>
              <w:rPr>
                <w:rFonts w:ascii="Arial" w:cs="Arial" w:eastAsia="Arial" w:hAnsi="Arial"/>
                <w:color w:val="334155"/>
                <w:sz w:val="21"/>
                <w:szCs w:val="21"/>
              </w:rPr>
              <w:t xml:space="preserve">Which customers are about to stop buying — and can we predict it?</w:t>
            </w:r>
          </w:p>
        </w:tc>
      </w:tr>
    </w:tbl>
    <w:p>
      <w:pPr>
        <w:spacing w:after="160"/>
      </w:pPr>
    </w:p>
    <w:p>
      <w:pPr>
        <w:pStyle w:val="Heading2"/>
        <w:spacing w:before="240" w:after="100"/>
      </w:pPr>
      <w:r>
        <w:rPr>
          <w:rFonts w:ascii="Arial" w:cs="Arial" w:eastAsia="Arial" w:hAnsi="Arial"/>
          <w:b/>
          <w:bCs/>
          <w:color w:val="1E3A5F"/>
          <w:sz w:val="28"/>
          <w:szCs w:val="28"/>
        </w:rPr>
        <w:t xml:space="preserve">3.1  Cohort Retention — How Loyal Are Customers?</w:t>
      </w:r>
    </w:p>
    <w:p>
      <w:pPr>
        <w:spacing w:after="140"/>
      </w:pPr>
      <w:r>
        <w:rPr>
          <w:rFonts w:ascii="Arial" w:cs="Arial" w:eastAsia="Arial" w:hAnsi="Arial"/>
          <w:b w:val="false"/>
          <w:bCs w:val="false"/>
          <w:color w:val="1e293b"/>
          <w:sz w:val="22"/>
          <w:szCs w:val="22"/>
        </w:rPr>
        <w:t xml:space="preserve">Before building a churn model, we needed to understand the retention baseline. Users were grouped by their first purchase month and tracked across subsequent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First Purchase</w:t>
            </w:r>
          </w:p>
        </w:tc>
        <w:tc>
          <w:tcPr>
            <w:tcW w:type="dxa" w:w="1755"/>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1</w:t>
            </w:r>
          </w:p>
        </w:tc>
        <w:tc>
          <w:tcPr>
            <w:tcW w:type="dxa" w:w="1755"/>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2</w:t>
            </w:r>
          </w:p>
        </w:tc>
        <w:tc>
          <w:tcPr>
            <w:tcW w:type="dxa" w:w="1755"/>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3</w:t>
            </w:r>
          </w:p>
        </w:tc>
        <w:tc>
          <w:tcPr>
            <w:tcW w:type="dxa" w:w="1755"/>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 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Oct-2019 (25,762 buyers)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18.5%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A8A04"/>
                <w:sz w:val="20"/>
                <w:szCs w:val="20"/>
              </w:rPr>
              <w:t xml:space="preserve">12.8%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A8A04"/>
                <w:sz w:val="20"/>
                <w:szCs w:val="20"/>
              </w:rPr>
              <w:t xml:space="preserve">13.2%</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A8A04"/>
                <w:sz w:val="20"/>
                <w:szCs w:val="20"/>
              </w:rPr>
              <w:t xml:space="preserve">10.4%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Nov-2019 (26,761 buyers)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A8A04"/>
                <w:sz w:val="20"/>
                <w:szCs w:val="20"/>
              </w:rPr>
              <w:t xml:space="preserve">9.8%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CA8A04"/>
                <w:sz w:val="20"/>
                <w:szCs w:val="20"/>
              </w:rPr>
              <w:t xml:space="preserve">10.1%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7.9%</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Dec-2019 (19,702 buyers)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8.5%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6.5%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Jan-2020 (20,427 buyers)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8.9%</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0"/>
              <w:bottom w:val="single" w:color="16A34A" w:sz="6"/>
              <w:right w:val="single" w:color="16A34A" w:sz="6"/>
            </w:tcBorders>
            <w:shd w:fill="F0FDF4"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Answer (Retention)</w:t>
            </w:r>
          </w:p>
          <w:p>
            <w:pPr>
              <w:spacing w:after="0"/>
            </w:pPr>
            <w:r>
              <w:rPr>
                <w:rFonts w:ascii="Arial" w:cs="Arial" w:eastAsia="Arial" w:hAnsi="Arial"/>
                <w:color w:val="334155"/>
                <w:sz w:val="21"/>
                <w:szCs w:val="21"/>
              </w:rPr>
              <w:t xml:space="preserve">The business loses 80–90% of new customers after just one month. October cohort is the strongest (18.5% return in month 1) while December cohort is the weakest (8.5%). The store is refilling a leaking bucket every month — spending to acquire customers who don’t return.</w:t>
            </w:r>
          </w:p>
        </w:tc>
      </w:tr>
    </w:tbl>
    <w:p>
      <w:pPr>
        <w:spacing w:after="160"/>
      </w:pPr>
    </w:p>
    <w:p>
      <w:pPr>
        <w:pStyle w:val="Heading2"/>
        <w:spacing w:before="240" w:after="100"/>
      </w:pPr>
      <w:r>
        <w:rPr>
          <w:rFonts w:ascii="Arial" w:cs="Arial" w:eastAsia="Arial" w:hAnsi="Arial"/>
          <w:b/>
          <w:bCs/>
          <w:color w:val="1E3A5F"/>
          <w:sz w:val="28"/>
          <w:szCs w:val="28"/>
        </w:rPr>
        <w:t xml:space="preserve">3.2  RFM Segmentation — Who Are the Customers Worth Saving?</w:t>
      </w:r>
    </w:p>
    <w:p>
      <w:pPr>
        <w:spacing w:after="140"/>
      </w:pPr>
      <w:r>
        <w:rPr>
          <w:rFonts w:ascii="Arial" w:cs="Arial" w:eastAsia="Arial" w:hAnsi="Arial"/>
          <w:b w:val="false"/>
          <w:bCs w:val="false"/>
          <w:color w:val="1e293b"/>
          <w:sz w:val="22"/>
          <w:szCs w:val="22"/>
        </w:rPr>
        <w:t xml:space="preserve">Every customer was scored 1–4 on Recency, Frequency, and Monetary value using NTILE(4) window functions. Segments were assigned based on combined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1404"/>
        <w:gridCol w:w="1404"/>
        <w:gridCol w:w="1404"/>
        <w:gridCol w:w="1404"/>
        <w:gridCol w:w="1989"/>
      </w:tblGrid>
      <w:tr>
        <w:tc>
          <w:tcPr>
            <w:tcW w:type="dxa" w:w="1755"/>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Segment</w:t>
            </w:r>
          </w:p>
        </w:tc>
        <w:tc>
          <w:tcPr>
            <w:tcW w:type="dxa" w:w="1404"/>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Customers</w:t>
            </w:r>
          </w:p>
        </w:tc>
        <w:tc>
          <w:tcPr>
            <w:tcW w:type="dxa" w:w="1404"/>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Base</w:t>
            </w:r>
          </w:p>
        </w:tc>
        <w:tc>
          <w:tcPr>
            <w:tcW w:type="dxa" w:w="1404"/>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Avg Orders</w:t>
            </w:r>
          </w:p>
        </w:tc>
        <w:tc>
          <w:tcPr>
            <w:tcW w:type="dxa" w:w="1404"/>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Avg Spent</w:t>
            </w:r>
          </w:p>
        </w:tc>
        <w:tc>
          <w:tcPr>
            <w:tcW w:type="dxa" w:w="1989"/>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Revenue</w:t>
            </w:r>
          </w:p>
        </w:tc>
      </w:tr>
      <w:tr>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Champion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16,537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26.0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$118</w:t>
            </w:r>
          </w:p>
        </w:tc>
        <w:tc>
          <w:tcPr>
            <w:tcW w:type="dxa" w:w="19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$1,959,153</w:t>
            </w:r>
          </w:p>
        </w:tc>
      </w:tr>
      <w:tr>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Loyal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28,087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$57</w:t>
            </w:r>
          </w:p>
        </w:tc>
        <w:tc>
          <w:tcPr>
            <w:tcW w:type="dxa" w:w="19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$1,619,367</w:t>
            </w:r>
          </w:p>
        </w:tc>
      </w:tr>
      <w:tr>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At Risk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12,751</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17.9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$75</w:t>
            </w:r>
          </w:p>
        </w:tc>
        <w:tc>
          <w:tcPr>
            <w:tcW w:type="dxa" w:w="19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$955,650</w:t>
            </w:r>
          </w:p>
        </w:tc>
      </w:tr>
      <w:tr>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Lost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11,409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15.9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$67</w:t>
            </w:r>
          </w:p>
        </w:tc>
        <w:tc>
          <w:tcPr>
            <w:tcW w:type="dxa" w:w="19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$758,876</w:t>
            </w:r>
          </w:p>
        </w:tc>
      </w:tr>
      <w:tr>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Promising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10,634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$23</w:t>
            </w:r>
          </w:p>
        </w:tc>
        <w:tc>
          <w:tcPr>
            <w:tcW w:type="dxa" w:w="19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$248,210</w:t>
            </w:r>
          </w:p>
        </w:tc>
      </w:tr>
      <w:tr>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Other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31,100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28%</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3.2</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$26</w:t>
            </w:r>
          </w:p>
        </w:tc>
        <w:tc>
          <w:tcPr>
            <w:tcW w:type="dxa" w:w="198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$806,750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Recommendation</w:t>
            </w:r>
          </w:p>
          <w:p>
            <w:pPr>
              <w:spacing w:after="0"/>
            </w:pPr>
            <w:r>
              <w:rPr>
                <w:rFonts w:ascii="Arial" w:cs="Arial" w:eastAsia="Arial" w:hAnsi="Arial"/>
                <w:color w:val="334155"/>
                <w:sz w:val="21"/>
                <w:szCs w:val="21"/>
              </w:rPr>
              <w:t xml:space="preserve">Priority 1: Protect Champions with loyalty rewards (15% of customers = 31% of revenue). Priority 2: Re-engage At Risk customers — they averaged 17.9 purchases and $75 spend. Winning back just 30% recovers ~$287K. Priority 3: Accept Lost customers are gone — low-cost automated email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4   </w:t>
            </w:r>
            <w:r>
              <w:rPr>
                <w:rFonts w:ascii="Arial" w:cs="Arial" w:eastAsia="Arial" w:hAnsi="Arial"/>
                <w:b/>
                <w:bCs/>
                <w:color w:val="FFFFFF"/>
                <w:sz w:val="26"/>
                <w:szCs w:val="26"/>
              </w:rPr>
              <w:t xml:space="preserve">INTERACTIVE DASHBOARD</w:t>
            </w:r>
          </w:p>
        </w:tc>
      </w:tr>
    </w:tbl>
    <w:p>
      <w:pPr>
        <w:spacing w:after="120"/>
      </w:pPr>
    </w:p>
    <w:p>
      <w:pPr>
        <w:spacing w:after="140"/>
      </w:pPr>
      <w:r>
        <w:rPr>
          <w:rFonts w:ascii="Arial" w:cs="Arial" w:eastAsia="Arial" w:hAnsi="Arial"/>
          <w:b w:val="false"/>
          <w:bCs w:val="false"/>
          <w:color w:val="1e293b"/>
          <w:sz w:val="22"/>
          <w:szCs w:val="22"/>
        </w:rPr>
        <w:t xml:space="preserve">An interactive Plotly dashboard was built directly in Google Colab and exported as a standalone HTML file. This solved a key stakeholder constraint: the raw data is 5GB — too large to download into Tableau. The HTML file is ~1MB and opens in any browser with no software installation.</w:t>
      </w:r>
    </w:p>
    <w:p>
      <w:pPr>
        <w:spacing w:after="120"/>
      </w:pPr>
    </w:p>
    <w:p>
      <w:pPr>
        <w:pStyle w:val="Heading2"/>
        <w:spacing w:before="240" w:after="100"/>
      </w:pPr>
      <w:r>
        <w:rPr>
          <w:rFonts w:ascii="Arial" w:cs="Arial" w:eastAsia="Arial" w:hAnsi="Arial"/>
          <w:b/>
          <w:bCs/>
          <w:color w:val="1E3A5F"/>
          <w:sz w:val="28"/>
          <w:szCs w:val="28"/>
        </w:rPr>
        <w:t xml:space="preserve">4.1  Dashboard Design Principles for Non-Technical Stakeholders</w:t>
      </w:r>
    </w:p>
    <w:p>
      <w:pPr>
        <w:pStyle w:val="ListParagraph"/>
        <w:numPr>
          <w:ilvl w:val="0"/>
          <w:numId w:val="2"/>
        </w:numPr>
        <w:spacing w:after="80"/>
      </w:pPr>
      <w:r>
        <w:rPr>
          <w:rFonts w:ascii="Arial" w:cs="Arial" w:eastAsia="Arial" w:hAnsi="Arial"/>
          <w:color w:val="1e293b"/>
          <w:sz w:val="22"/>
          <w:szCs w:val="22"/>
        </w:rPr>
        <w:t xml:space="preserve">Every chart title is a plain-English question, not a technical label</w:t>
      </w:r>
    </w:p>
    <w:p>
      <w:pPr>
        <w:pStyle w:val="ListParagraph"/>
        <w:numPr>
          <w:ilvl w:val="0"/>
          <w:numId w:val="2"/>
        </w:numPr>
        <w:spacing w:after="80"/>
      </w:pPr>
      <w:r>
        <w:rPr>
          <w:rFonts w:ascii="Arial" w:cs="Arial" w:eastAsia="Arial" w:hAnsi="Arial"/>
          <w:color w:val="1e293b"/>
          <w:sz w:val="22"/>
          <w:szCs w:val="22"/>
        </w:rPr>
        <w:t xml:space="preserve">Colour coding is consistent throughout: Green = good, Red = problem, Orange = warning</w:t>
      </w:r>
    </w:p>
    <w:p>
      <w:pPr>
        <w:pStyle w:val="ListParagraph"/>
        <w:numPr>
          <w:ilvl w:val="0"/>
          <w:numId w:val="2"/>
        </w:numPr>
        <w:spacing w:after="80"/>
      </w:pPr>
      <w:r>
        <w:rPr>
          <w:rFonts w:ascii="Arial" w:cs="Arial" w:eastAsia="Arial" w:hAnsi="Arial"/>
          <w:color w:val="1e293b"/>
          <w:sz w:val="22"/>
          <w:szCs w:val="22"/>
        </w:rPr>
        <w:t xml:space="preserve">Hover tooltips show exact numbers without cluttering the chart</w:t>
      </w:r>
    </w:p>
    <w:p>
      <w:pPr>
        <w:pStyle w:val="ListParagraph"/>
        <w:numPr>
          <w:ilvl w:val="0"/>
          <w:numId w:val="2"/>
        </w:numPr>
        <w:spacing w:after="80"/>
      </w:pPr>
      <w:r>
        <w:rPr>
          <w:rFonts w:ascii="Arial" w:cs="Arial" w:eastAsia="Arial" w:hAnsi="Arial"/>
          <w:color w:val="1e293b"/>
          <w:sz w:val="22"/>
          <w:szCs w:val="22"/>
        </w:rPr>
        <w:t xml:space="preserve">A callout box at the bottom summarises the 6 key actions in plain language</w:t>
      </w:r>
    </w:p>
    <w:p>
      <w:pPr>
        <w:pStyle w:val="ListParagraph"/>
        <w:numPr>
          <w:ilvl w:val="0"/>
          <w:numId w:val="2"/>
        </w:numPr>
        <w:spacing w:after="80"/>
      </w:pPr>
      <w:r>
        <w:rPr>
          <w:rFonts w:ascii="Arial" w:cs="Arial" w:eastAsia="Arial" w:hAnsi="Arial"/>
          <w:color w:val="1e293b"/>
          <w:sz w:val="22"/>
          <w:szCs w:val="22"/>
        </w:rPr>
        <w:t xml:space="preserve">The brand chart allows clicking legend items to isolate individual brands</w:t>
      </w:r>
    </w:p>
    <w:p>
      <w:pPr>
        <w:spacing w:after="160"/>
      </w:pPr>
    </w:p>
    <w:p>
      <w:pPr>
        <w:pStyle w:val="Heading2"/>
        <w:spacing w:before="240" w:after="100"/>
      </w:pPr>
      <w:r>
        <w:rPr>
          <w:rFonts w:ascii="Arial" w:cs="Arial" w:eastAsia="Arial" w:hAnsi="Arial"/>
          <w:b/>
          <w:bCs/>
          <w:color w:val="1E3A5F"/>
          <w:sz w:val="28"/>
          <w:szCs w:val="28"/>
        </w:rPr>
        <w:t xml:space="preserve">4.2  The 8 Charts and What They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2880"/>
        <w:gridCol w:w="2880"/>
      </w:tblGrid>
      <w:tr>
        <w:tc>
          <w:tcPr>
            <w:tcW w:type="dxa" w:w="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Chart</w:t>
            </w:r>
          </w:p>
        </w:tc>
        <w:tc>
          <w:tcPr>
            <w:tcW w:type="dxa" w:w="28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Stakeholder Question</w:t>
            </w:r>
          </w:p>
        </w:tc>
        <w:tc>
          <w:tcPr>
            <w:tcW w:type="dxa" w:w="28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Finding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Monthly Revenue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Which months performed best?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Nov peak +26% — Black Friday effect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Cart Conversion 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Is our checkout improving?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Declining from 24.6% to 21.9%</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Customer Segments (RFM donut)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Who are our most valuable customers?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Champions (15%) drive 31% of revenue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Cohort Retention Heatmap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How loyal are our customers?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Only 8–18% return after month 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Top Brand Revenue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Which brands are growing?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grattol +46%, runail -21%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Conversion by Hour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When should we run campaigns?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9–12am peak — especially Thursday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Purchase Decision Timeline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How long do customers decide?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32% buy within 24 hrs of first view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8</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Revenue vs Buyers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Do more buyers = more revenue?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Nov buyers +22% drove all revenue growth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5   </w:t>
            </w:r>
            <w:r>
              <w:rPr>
                <w:rFonts w:ascii="Arial" w:cs="Arial" w:eastAsia="Arial" w:hAnsi="Arial"/>
                <w:b/>
                <w:bCs/>
                <w:color w:val="FFFFFF"/>
                <w:sz w:val="26"/>
                <w:szCs w:val="26"/>
              </w:rPr>
              <w:t xml:space="preserve">CHURN PREDICTION MODEL — ANSWERING QUESTION 2 (PART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0"/>
              <w:bottom w:val="single" w:color="EA580C" w:sz="6"/>
              <w:right w:val="single" w:color="EA580C" w:sz="6"/>
            </w:tcBorders>
            <w:shd w:fill="FFF7ED"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Business Question 2 (continued)</w:t>
            </w:r>
          </w:p>
          <w:p>
            <w:pPr>
              <w:spacing w:after="0"/>
            </w:pPr>
            <w:r>
              <w:rPr>
                <w:rFonts w:ascii="Arial" w:cs="Arial" w:eastAsia="Arial" w:hAnsi="Arial"/>
                <w:color w:val="334155"/>
                <w:sz w:val="21"/>
                <w:szCs w:val="21"/>
              </w:rPr>
              <w:t xml:space="preserve">Can we predict which specific customers are about to stop buying — and score them so we know who to contact?</w:t>
            </w:r>
          </w:p>
        </w:tc>
      </w:tr>
    </w:tbl>
    <w:p>
      <w:pPr>
        <w:spacing w:after="160"/>
      </w:pPr>
    </w:p>
    <w:p>
      <w:pPr>
        <w:pStyle w:val="Heading2"/>
        <w:spacing w:before="240" w:after="100"/>
      </w:pPr>
      <w:r>
        <w:rPr>
          <w:rFonts w:ascii="Arial" w:cs="Arial" w:eastAsia="Arial" w:hAnsi="Arial"/>
          <w:b/>
          <w:bCs/>
          <w:color w:val="1E3A5F"/>
          <w:sz w:val="28"/>
          <w:szCs w:val="28"/>
        </w:rPr>
        <w:t xml:space="preserve">5.1  Approach</w:t>
      </w:r>
    </w:p>
    <w:p>
      <w:pPr>
        <w:spacing w:after="140"/>
      </w:pPr>
      <w:r>
        <w:rPr>
          <w:rFonts w:ascii="Arial" w:cs="Arial" w:eastAsia="Arial" w:hAnsi="Arial"/>
          <w:b w:val="false"/>
          <w:bCs w:val="false"/>
          <w:color w:val="1e293b"/>
          <w:sz w:val="22"/>
          <w:szCs w:val="22"/>
        </w:rPr>
        <w:t xml:space="preserve">A Random Forest classifier was trained to predict whether an early-window buyer (Oct–Dec 2019) would return in the observation window (Jan–Feb 2020). This temporal split — rather than a random split — mirrors real-world usage: you always predict future behaviour from past behaviour.</w:t>
      </w:r>
    </w:p>
    <w:p>
      <w:pPr>
        <w:spacing w:after="120"/>
      </w:pPr>
    </w:p>
    <w:p>
      <w:pPr>
        <w:pStyle w:val="Heading2"/>
        <w:spacing w:before="240" w:after="100"/>
      </w:pPr>
      <w:r>
        <w:rPr>
          <w:rFonts w:ascii="Arial" w:cs="Arial" w:eastAsia="Arial" w:hAnsi="Arial"/>
          <w:b/>
          <w:bCs/>
          <w:color w:val="1E3A5F"/>
          <w:sz w:val="28"/>
          <w:szCs w:val="28"/>
        </w:rPr>
        <w:t xml:space="preserve">5.2  The Class Imbalance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0"/>
              <w:bottom w:val="single" w:color="EA580C" w:sz="6"/>
              <w:right w:val="single" w:color="EA580C" w:sz="6"/>
            </w:tcBorders>
            <w:shd w:fill="FFF7ED"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Why This Matters</w:t>
            </w:r>
          </w:p>
          <w:p>
            <w:pPr>
              <w:spacing w:after="0"/>
            </w:pPr>
            <w:r>
              <w:rPr>
                <w:rFonts w:ascii="Arial" w:cs="Arial" w:eastAsia="Arial" w:hAnsi="Arial"/>
                <w:color w:val="334155"/>
                <w:sz w:val="21"/>
                <w:szCs w:val="21"/>
              </w:rPr>
              <w:t xml:space="preserve">84.5% of early buyers churned and only 15.5% returned. A naive model could achieve 84.5% accuracy by predicting "churned" for everyone — and be completely useless. We solved this with class_weight=balanced, which forces the model to pay equal attention to both classes regardless of their frequency.</w:t>
            </w:r>
          </w:p>
        </w:tc>
      </w:tr>
    </w:tbl>
    <w:p>
      <w:pPr>
        <w:spacing w:after="160"/>
      </w:pPr>
    </w:p>
    <w:p>
      <w:pPr>
        <w:pStyle w:val="Heading2"/>
        <w:spacing w:before="240" w:after="100"/>
      </w:pPr>
      <w:r>
        <w:rPr>
          <w:rFonts w:ascii="Arial" w:cs="Arial" w:eastAsia="Arial" w:hAnsi="Arial"/>
          <w:b/>
          <w:bCs/>
          <w:color w:val="1E3A5F"/>
          <w:sz w:val="28"/>
          <w:szCs w:val="28"/>
        </w:rPr>
        <w:t xml:space="preserve">5.3  Features — 15 Behavioural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320"/>
      </w:tblGrid>
      <w:tr>
        <w:tc>
          <w:tcPr>
            <w:tcW w:type="dxa" w:w="32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43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Why It Matters for Churn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First→Last Month Span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Loyalty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Most important signal — consistency of buying over time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Months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Loyalty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Tied #1 — spread of engagement beats single-month burst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Cart Additions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Engagement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Strong intent signal — serious consideration, not just browsing</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Total Purchases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Frequency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Volume of buying behaviour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Total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Engagement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How often they visited the site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Days Since Last Purchase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Recency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Classic churn indicator — but only #6 here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Total Amount Spent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Monetary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Less predictive than behavioural signals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Cart Removals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Behaviour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Hesitation signal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Total 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Engagement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Browsing depth</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Price Variety (StdDev)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Behaviour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Buying across price ranges = exploration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Avg / Max Order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Monetary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Spend level indicators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Personal Conversion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Behaviour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Individual cart-to-purchase efficiency</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View→Cart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Behaviour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How often browsing turns to intent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Purchases per Session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Efficiency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Decisiveness per visit</w:t>
            </w:r>
          </w:p>
        </w:tc>
      </w:tr>
    </w:tbl>
    <w:p>
      <w:pPr>
        <w:spacing w:after="160"/>
      </w:pPr>
    </w:p>
    <w:p>
      <w:pPr>
        <w:pStyle w:val="Heading2"/>
        <w:spacing w:before="240" w:after="100"/>
      </w:pPr>
      <w:r>
        <w:rPr>
          <w:rFonts w:ascii="Arial" w:cs="Arial" w:eastAsia="Arial" w:hAnsi="Arial"/>
          <w:b/>
          <w:bCs/>
          <w:color w:val="1E3A5F"/>
          <w:sz w:val="28"/>
          <w:szCs w:val="28"/>
        </w:rPr>
        <w:t xml:space="preserve">5.4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ROC-AUC (test set)</w:t>
            </w:r>
          </w:p>
        </w:tc>
        <w:tc>
          <w:tcPr>
            <w:tcW w:type="dxa" w:w="39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0.7834  —  Good, production-usable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Cross-validation AUC (5-fold)</w:t>
            </w:r>
          </w:p>
        </w:tc>
        <w:tc>
          <w:tcPr>
            <w:tcW w:type="dxa" w:w="39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0.7833 ± 0.0086  —  Stable, not a fluke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Churners correctly flagged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9,368 of 12,209  (76.7%)</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Retained correctly identified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1,476 of 2,236   (66.0%)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False positives (wasted emails)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760 customers — low cost error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False negatives (missed churners)</w:t>
            </w:r>
          </w:p>
        </w:tc>
        <w:tc>
          <w:tcPr>
            <w:tcW w:type="dxa" w:w="396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2,841 customers — silent revenue loss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What AUC 0.783 Means in Plain English</w:t>
            </w:r>
          </w:p>
          <w:p>
            <w:pPr>
              <w:spacing w:after="0"/>
            </w:pPr>
            <w:r>
              <w:rPr>
                <w:rFonts w:ascii="Arial" w:cs="Arial" w:eastAsia="Arial" w:hAnsi="Arial"/>
                <w:color w:val="334155"/>
                <w:sz w:val="21"/>
                <w:szCs w:val="21"/>
              </w:rPr>
              <w:t xml:space="preserve">If you pick one churner and one retained customer at random, the model correctly identifies which is higher risk 78.3% of the time. Industry standard for a production churn model is &gt;0.70. We exceeded that. The model is reliable enough to act on.</w:t>
            </w:r>
          </w:p>
        </w:tc>
      </w:tr>
    </w:tbl>
    <w:p>
      <w:pPr>
        <w:spacing w:after="160"/>
      </w:pPr>
    </w:p>
    <w:p>
      <w:pPr>
        <w:pStyle w:val="Heading2"/>
        <w:spacing w:before="240" w:after="100"/>
      </w:pPr>
      <w:r>
        <w:rPr>
          <w:rFonts w:ascii="Arial" w:cs="Arial" w:eastAsia="Arial" w:hAnsi="Arial"/>
          <w:b/>
          <w:bCs/>
          <w:color w:val="1E3A5F"/>
          <w:sz w:val="28"/>
          <w:szCs w:val="28"/>
        </w:rPr>
        <w:t xml:space="preserve">5.5  Churn Risk Scores — The Actionable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497"/>
        <w:gridCol w:w="1497"/>
        <w:gridCol w:w="1497"/>
        <w:gridCol w:w="1500"/>
      </w:tblGrid>
      <w:tr>
        <w:tc>
          <w:tcPr>
            <w:tcW w:type="dxa" w:w="1872"/>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 Tier</w:t>
            </w:r>
          </w:p>
        </w:tc>
        <w:tc>
          <w:tcPr>
            <w:tcW w:type="dxa" w:w="1497"/>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Customers</w:t>
            </w:r>
          </w:p>
        </w:tc>
        <w:tc>
          <w:tcPr>
            <w:tcW w:type="dxa" w:w="1497"/>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Churn Prob</w:t>
            </w:r>
          </w:p>
        </w:tc>
        <w:tc>
          <w:tcPr>
            <w:tcW w:type="dxa" w:w="1497"/>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Avg Orders</w:t>
            </w:r>
          </w:p>
        </w:tc>
        <w:tc>
          <w:tcPr>
            <w:tcW w:type="dxa" w:w="1497"/>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Avg Spent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Revenue at Risk</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Very Low Risk</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14,660</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25%</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24.8</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$1,638,378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Low Risk</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15,074</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50%</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9.5</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$673,825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Medium Risk</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19,623</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69%</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9.2</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$896,942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High Risk</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22,868</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80%</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4.1</w:t>
            </w:r>
          </w:p>
        </w:tc>
        <w:tc>
          <w:tcPr>
            <w:tcW w:type="dxa" w:w="14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$612,623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20"/>
              <w:bottom w:val="single" w:color="2563EB" w:sz="6"/>
              <w:right w:val="single" w:color="2563EB" w:sz="6"/>
            </w:tcBorders>
            <w:shd w:fill="EFF6FF"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Recommendation</w:t>
            </w:r>
          </w:p>
          <w:p>
            <w:pPr>
              <w:spacing w:after="0"/>
            </w:pPr>
            <w:r>
              <w:rPr>
                <w:rFonts w:ascii="Arial" w:cs="Arial" w:eastAsia="Arial" w:hAnsi="Arial"/>
                <w:color w:val="334155"/>
                <w:sz w:val="21"/>
                <w:szCs w:val="21"/>
              </w:rPr>
              <w:t xml:space="preserve">Export the Medium Risk customer list for a re-engagement campaign with a 10% discount. $897K at risk × 30% recovery rate = $269K recovered. Cost of campaign should not exceed that. High Risk customers (one-time buyers, 80 days gone) warrant only a low-cost automated email — the ROI on deeper intervention is 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6   </w:t>
            </w:r>
            <w:r>
              <w:rPr>
                <w:rFonts w:ascii="Arial" w:cs="Arial" w:eastAsia="Arial" w:hAnsi="Arial"/>
                <w:b/>
                <w:bCs/>
                <w:color w:val="FFFFFF"/>
                <w:sz w:val="26"/>
                <w:szCs w:val="26"/>
              </w:rPr>
              <w:t xml:space="preserve">REVENUE FORECASTING — ANSWERING QUESTION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0"/>
              <w:bottom w:val="single" w:color="EA580C" w:sz="6"/>
              <w:right w:val="single" w:color="EA580C" w:sz="6"/>
            </w:tcBorders>
            <w:shd w:fill="FFF7ED"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Business Question 3</w:t>
            </w:r>
          </w:p>
          <w:p>
            <w:pPr>
              <w:spacing w:after="0"/>
            </w:pPr>
            <w:r>
              <w:rPr>
                <w:rFonts w:ascii="Arial" w:cs="Arial" w:eastAsia="Arial" w:hAnsi="Arial"/>
                <w:color w:val="334155"/>
                <w:sz w:val="21"/>
                <w:szCs w:val="21"/>
              </w:rPr>
              <w:t xml:space="preserve">What will revenue look like in the next quarter so we can set budgets and plan inventory?</w:t>
            </w:r>
          </w:p>
        </w:tc>
      </w:tr>
    </w:tbl>
    <w:p>
      <w:pPr>
        <w:spacing w:after="160"/>
      </w:pPr>
    </w:p>
    <w:p>
      <w:pPr>
        <w:pStyle w:val="Heading2"/>
        <w:spacing w:before="240" w:after="100"/>
      </w:pPr>
      <w:r>
        <w:rPr>
          <w:rFonts w:ascii="Arial" w:cs="Arial" w:eastAsia="Arial" w:hAnsi="Arial"/>
          <w:b/>
          <w:bCs/>
          <w:color w:val="1E3A5F"/>
          <w:sz w:val="28"/>
          <w:szCs w:val="28"/>
        </w:rPr>
        <w:t xml:space="preserve">6.1  Approach — Facebook Prophet</w:t>
      </w:r>
    </w:p>
    <w:p>
      <w:pPr>
        <w:spacing w:after="140"/>
      </w:pPr>
      <w:r>
        <w:rPr>
          <w:rFonts w:ascii="Arial" w:cs="Arial" w:eastAsia="Arial" w:hAnsi="Arial"/>
          <w:b w:val="false"/>
          <w:bCs w:val="false"/>
          <w:color w:val="1e293b"/>
          <w:sz w:val="22"/>
          <w:szCs w:val="22"/>
        </w:rPr>
        <w:t xml:space="preserve">Prophet decomposes the revenue time series into three components: overall trend, weekly seasonality, and named holiday effects. Black Friday was explicitly modelled as a holiday with a 3-day lead and 3-day lag window to capture pre- and post-promotion effects.</w:t>
      </w:r>
    </w:p>
    <w:p>
      <w:pPr>
        <w:spacing w:after="160"/>
      </w:pPr>
    </w:p>
    <w:p>
      <w:pPr>
        <w:pStyle w:val="Heading2"/>
        <w:spacing w:before="240" w:after="100"/>
      </w:pPr>
      <w:r>
        <w:rPr>
          <w:rFonts w:ascii="Arial" w:cs="Arial" w:eastAsia="Arial" w:hAnsi="Arial"/>
          <w:b/>
          <w:bCs/>
          <w:color w:val="1E3A5F"/>
          <w:sz w:val="28"/>
          <w:szCs w:val="28"/>
        </w:rPr>
        <w:t xml:space="preserve">6.2  Forecast — March to May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Central Forecast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Lower Bound (95%)</w:t>
            </w:r>
          </w:p>
        </w:tc>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Upper Bound (95%)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Feb 2020 (actual baseline)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$1,207,369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Mar 2020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$1,298,369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$564,118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$2,035,915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Apr 2020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$1,263,393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$548,796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$1,980,687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May 2020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$1,223,564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$530,934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$1,904,532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20"/>
              <w:bottom w:val="single" w:color="16A34A" w:sz="6"/>
              <w:right w:val="single" w:color="16A34A" w:sz="6"/>
            </w:tcBorders>
            <w:shd w:fill="F0FDF4"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Answer</w:t>
            </w:r>
          </w:p>
          <w:p>
            <w:pPr>
              <w:spacing w:after="0"/>
            </w:pPr>
            <w:r>
              <w:rPr>
                <w:rFonts w:ascii="Arial" w:cs="Arial" w:eastAsia="Arial" w:hAnsi="Arial"/>
                <w:color w:val="334155"/>
                <w:sz w:val="21"/>
                <w:szCs w:val="21"/>
              </w:rPr>
              <w:t xml:space="preserve">Revenue will most likely remain in the $1.2M–$1.3M range per month — consistent with recent performance. The wide confidence intervals (95% range spans ~$1.5M) are intentional honesty: with 5 months of data, a narrow forecast would be false precision. Budget conservatively at $1.2M/month.</w:t>
            </w:r>
          </w:p>
        </w:tc>
      </w:tr>
    </w:tbl>
    <w:p>
      <w:pPr>
        <w:spacing w:after="160"/>
      </w:pPr>
    </w:p>
    <w:p>
      <w:pPr>
        <w:pStyle w:val="Heading2"/>
        <w:spacing w:before="240" w:after="100"/>
      </w:pPr>
      <w:r>
        <w:rPr>
          <w:rFonts w:ascii="Arial" w:cs="Arial" w:eastAsia="Arial" w:hAnsi="Arial"/>
          <w:b/>
          <w:bCs/>
          <w:color w:val="1E3A5F"/>
          <w:sz w:val="28"/>
          <w:szCs w:val="28"/>
        </w:rPr>
        <w:t xml:space="preserve">6.3  Weekly Pattern — When to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2160"/>
        <w:gridCol w:w="270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Revenue Effect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c>
          <w:tcPr>
            <w:tcW w:type="dxa" w:w="27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Recommended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Thursday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+$3,626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Best day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Launch campaigns, send emails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Monday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+$2,955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Strong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Re-engagement sequences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Tuesday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+$2,530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Strong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Schedule promotions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Friday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+$1,144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Positive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Flash sales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Wednesday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+$391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Neutral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Organic/content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Sunday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-$2,916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Negative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No paid spend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Saturday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-$7,730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Worst day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No campaign launches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6"/>
              <w:left w:val="single" w:color="EA580C" w:sz="20"/>
              <w:bottom w:val="single" w:color="EA580C" w:sz="6"/>
              <w:right w:val="single" w:color="EA580C" w:sz="6"/>
            </w:tcBorders>
            <w:shd w:fill="FFF7ED" w:val="clear"/>
            <w:tcMar>
              <w:top w:type="dxa" w:w="120"/>
              <w:left w:type="dxa" w:w="180"/>
              <w:bottom w:type="dxa" w:w="120"/>
              <w:right w:type="dxa" w:w="180"/>
            </w:tcMar>
          </w:tcPr>
          <w:p>
            <w:pPr>
              <w:spacing w:after="60"/>
            </w:pPr>
            <w:r>
              <w:rPr>
                <w:rFonts w:ascii="Arial" w:cs="Arial" w:eastAsia="Arial" w:hAnsi="Arial"/>
                <w:b/>
                <w:bCs/>
                <w:color w:val="1E3A5F"/>
                <w:sz w:val="22"/>
                <w:szCs w:val="22"/>
              </w:rPr>
              <w:t xml:space="preserve">⚠️  Trend Warning</w:t>
            </w:r>
          </w:p>
          <w:p>
            <w:pPr>
              <w:spacing w:after="0"/>
            </w:pPr>
            <w:r>
              <w:rPr>
                <w:rFonts w:ascii="Arial" w:cs="Arial" w:eastAsia="Arial" w:hAnsi="Arial"/>
                <w:color w:val="334155"/>
                <w:sz w:val="21"/>
                <w:szCs w:val="21"/>
              </w:rPr>
              <w:t xml:space="preserve">The Prophet trend line is flat at ~$40K/day across all 5 months with no upward trajectory. Without deliberate action — retention improvement, product expansion, or new customer acquisition — the business will plateau at approximately $1.2M/month indefinitely.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7   </w:t>
            </w:r>
            <w:r>
              <w:rPr>
                <w:rFonts w:ascii="Arial" w:cs="Arial" w:eastAsia="Arial" w:hAnsi="Arial"/>
                <w:b/>
                <w:bCs/>
                <w:color w:val="FFFFFF"/>
                <w:sz w:val="26"/>
                <w:szCs w:val="26"/>
              </w:rPr>
              <w:t xml:space="preserve">FINAL ANSWER TO THE STAKEHOLDER</w:t>
            </w:r>
          </w:p>
        </w:tc>
      </w:tr>
    </w:tbl>
    <w:p>
      <w:pPr>
        <w:spacing w:after="120"/>
      </w:pPr>
    </w:p>
    <w:p>
      <w:pPr>
        <w:spacing w:after="140"/>
      </w:pPr>
      <w:r>
        <w:rPr>
          <w:rFonts w:ascii="Arial" w:cs="Arial" w:eastAsia="Arial" w:hAnsi="Arial"/>
          <w:b w:val="false"/>
          <w:bCs w:val="false"/>
          <w:color w:val="1e293b"/>
          <w:sz w:val="22"/>
          <w:szCs w:val="22"/>
        </w:rPr>
        <w:t xml:space="preserve">Recall the original question: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2"/>
              <w:left w:val="single" w:color="1E3A5F" w:sz="40"/>
              <w:bottom w:val="single" w:color="1E3A5F" w:sz="12"/>
              <w:right w:val="single" w:color="1E3A5F" w:sz="12"/>
            </w:tcBorders>
            <w:shd w:fill="F0F4FF" w:val="clear"/>
            <w:tcMar>
              <w:top w:type="dxa" w:w="180"/>
              <w:left w:type="dxa" w:w="240"/>
              <w:bottom w:type="dxa" w:w="180"/>
              <w:right w:type="dxa" w:w="240"/>
            </w:tcMar>
          </w:tcPr>
          <w:p>
            <w:pPr>
              <w:spacing w:after="0"/>
              <w:jc w:val="center"/>
            </w:pPr>
            <w:r>
              <w:rPr>
                <w:rFonts w:ascii="Arial" w:cs="Arial" w:eastAsia="Arial" w:hAnsi="Arial"/>
                <w:i/>
                <w:iCs/>
                <w:color w:val="1E3A5F"/>
                <w:sz w:val="24"/>
                <w:szCs w:val="24"/>
              </w:rPr>
              <w:t xml:space="preserve">“Our sales feel inconsistent, we spend on customers who don’t come back, and we have no idea what next quarter looks like.”</w:t>
            </w:r>
          </w:p>
        </w:tc>
      </w:tr>
    </w:tbl>
    <w:p>
      <w:pPr>
        <w:spacing w:after="160"/>
      </w:pPr>
    </w:p>
    <w:p>
      <w:pPr>
        <w:spacing w:after="140"/>
      </w:pPr>
      <w:r>
        <w:rPr>
          <w:rFonts w:ascii="Arial" w:cs="Arial" w:eastAsia="Arial" w:hAnsi="Arial"/>
          <w:b w:val="false"/>
          <w:bCs w:val="false"/>
          <w:color w:val="1e293b"/>
          <w:sz w:val="22"/>
          <w:szCs w:val="22"/>
        </w:rPr>
        <w:t xml:space="preserve">Here is the complete data-driven answer: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What You Said</w:t>
            </w:r>
          </w:p>
        </w:tc>
        <w:tc>
          <w:tcPr>
            <w:tcW w:type="dxa" w:w="46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  What the Data Shows</w:t>
            </w:r>
          </w:p>
        </w:tc>
      </w:tr>
      <w:tr>
        <w:tc>
          <w:tcPr>
            <w:tcW w:type="dxa" w:w="4680"/>
            <w:tcBorders>
              <w:top w:val="single" w:color="CCCCCC" w:sz="1"/>
              <w:left w:val="single" w:color="CCCCCC" w:sz="1"/>
              <w:bottom w:val="single" w:color="CCCCCC" w:sz="1"/>
              <w:right w:val="single" w:color="CCCCCC" w:sz="1"/>
            </w:tcBorders>
            <w:shd w:fill="FFF7ED"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"Sales feel inconsistent"</w:t>
            </w:r>
          </w:p>
        </w:tc>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Confirmed — but the cause is clear. November spikes from Black Friday then December falls because demand was pulled forward. Revenue is actually stable at $1.2M/month when Black Friday is excluded.</w:t>
            </w:r>
          </w:p>
        </w:tc>
      </w:tr>
      <w:tr>
        <w:tc>
          <w:tcPr>
            <w:tcW w:type="dxa" w:w="4680"/>
            <w:tcBorders>
              <w:top w:val="single" w:color="CCCCCC" w:sz="1"/>
              <w:left w:val="single" w:color="CCCCCC" w:sz="1"/>
              <w:bottom w:val="single" w:color="CCCCCC" w:sz="1"/>
              <w:right w:val="single" w:color="CCCCCC" w:sz="1"/>
            </w:tcBorders>
            <w:shd w:fill="FFF7ED"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"We spend on customers who don’t come back"</w:t>
            </w:r>
          </w:p>
        </w:tc>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Confirmed — 80–90% of new buyers never return after month 1. However, 11,180 customers (15.5%) did return repeatedly and they are identifiable. The churn model scores all 72,225 customers so you know exactly who to target.</w:t>
            </w:r>
          </w:p>
        </w:tc>
      </w:tr>
      <w:tr>
        <w:tc>
          <w:tcPr>
            <w:tcW w:type="dxa" w:w="4680"/>
            <w:tcBorders>
              <w:top w:val="single" w:color="CCCCCC" w:sz="1"/>
              <w:left w:val="single" w:color="CCCCCC" w:sz="1"/>
              <w:bottom w:val="single" w:color="CCCCCC" w:sz="1"/>
              <w:right w:val="single" w:color="CCCCCC" w:sz="1"/>
            </w:tcBorders>
            <w:shd w:fill="FFF7ED"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"No idea what next quarter looks like"</w:t>
            </w:r>
          </w:p>
        </w:tc>
        <w:tc>
          <w:tcPr>
            <w:tcW w:type="dxa" w:w="4680"/>
            <w:tcBorders>
              <w:top w:val="single" w:color="CCCCCC" w:sz="1"/>
              <w:left w:val="single" w:color="CCCCCC" w:sz="1"/>
              <w:bottom w:val="single" w:color="CCCCCC" w:sz="1"/>
              <w:right w:val="single" w:color="CCCCCC" w:sz="1"/>
            </w:tcBorders>
            <w:shd w:fill="F0FDF4"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Now you do. Prophet forecasts $1.2M–$1.3M/month for Mar–May 2020. The business is stable but flat — it will not grow without deliberate action.</w:t>
            </w:r>
          </w:p>
        </w:tc>
      </w:tr>
    </w:tbl>
    <w:p>
      <w:pPr>
        <w:spacing w:after="160"/>
      </w:pPr>
    </w:p>
    <w:p>
      <w:pPr>
        <w:pStyle w:val="Heading2"/>
        <w:spacing w:before="240" w:after="100"/>
      </w:pPr>
      <w:r>
        <w:rPr>
          <w:rFonts w:ascii="Arial" w:cs="Arial" w:eastAsia="Arial" w:hAnsi="Arial"/>
          <w:b/>
          <w:bCs/>
          <w:color w:val="1E3A5F"/>
          <w:sz w:val="28"/>
          <w:szCs w:val="28"/>
        </w:rPr>
        <w:t xml:space="preserve">7.1  Prioritised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80"/>
        <w:gridCol w:w="2160"/>
        <w:gridCol w:w="1800"/>
        <w:gridCol w:w="2160"/>
      </w:tblGrid>
      <w:tr>
        <w:tc>
          <w:tcPr>
            <w:tcW w:type="dxa" w:w="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Revenue Impact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Fix checkout for high-price items ($100+). Investigate friction at payment step.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$635K+/yr potential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CRITICAL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Send cart abandonment email at 20hrs. 32% of buyers decide within 24hrs.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$190K+ recoverable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HIGH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Re-engage Medium Risk segment (69% churn prob) with targeted 10% discount offer.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$269K if 30% respond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HIGH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Launch Champion loyalty program. Early access, free shipping, personalised offers.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Protects $1.96M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EA580C"/>
                <w:sz w:val="20"/>
                <w:szCs w:val="20"/>
              </w:rPr>
              <w:t xml:space="preserve">HIGH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Diagnose masura brand decline (-32% over 5 months). Pricing? Quality? Competition?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Protect $140K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MEDIUM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Schedule all campaigns for Thu–Fri 9am–12pm. Avoid Saturday launches entirely.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Efficiency gain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MEDIUM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Day-6 reminder email for the 29% of buyers who take over a week to decide.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$85K+ recoverable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A8A04"/>
                <w:sz w:val="20"/>
                <w:szCs w:val="20"/>
              </w:rPr>
              <w:t xml:space="preserve">MEDIUM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0"/>
              <w:left w:val="single" w:color="16A34A" w:sz="40"/>
              <w:bottom w:val="single" w:color="16A34A" w:sz="10"/>
              <w:right w:val="single" w:color="16A34A" w:sz="10"/>
            </w:tcBorders>
            <w:shd w:fill="F0FDF4" w:val="clear"/>
            <w:tcMar>
              <w:top w:type="dxa" w:w="200"/>
              <w:left w:type="dxa" w:w="240"/>
              <w:bottom w:type="dxa" w:w="200"/>
              <w:right w:type="dxa" w:w="240"/>
            </w:tcMar>
          </w:tcPr>
          <w:p>
            <w:pPr>
              <w:spacing w:after="80"/>
            </w:pPr>
            <w:r>
              <w:rPr>
                <w:rFonts w:ascii="Arial" w:cs="Arial" w:eastAsia="Arial" w:hAnsi="Arial"/>
                <w:b/>
                <w:bCs/>
                <w:color w:val="16A34A"/>
                <w:sz w:val="28"/>
                <w:szCs w:val="28"/>
              </w:rPr>
              <w:t xml:space="preserve">★  Total Recoverable Revenue Identified</w:t>
            </w:r>
          </w:p>
          <w:p>
            <w:pPr>
              <w:spacing w:after="60"/>
            </w:pPr>
            <w:r>
              <w:rPr>
                <w:rFonts w:ascii="Arial" w:cs="Arial" w:eastAsia="Arial" w:hAnsi="Arial"/>
                <w:color w:val="1e293b"/>
                <w:sz w:val="22"/>
                <w:szCs w:val="22"/>
              </w:rPr>
              <w:t xml:space="preserve">Cart abandonment (conservative 10% recovery): $635,000</w:t>
            </w:r>
          </w:p>
          <w:p>
            <w:pPr>
              <w:spacing w:after="60"/>
            </w:pPr>
            <w:r>
              <w:rPr>
                <w:rFonts w:ascii="Arial" w:cs="Arial" w:eastAsia="Arial" w:hAnsi="Arial"/>
                <w:color w:val="1e293b"/>
                <w:sz w:val="22"/>
                <w:szCs w:val="22"/>
              </w:rPr>
              <w:t xml:space="preserve">At-Risk customer re-engagement (30% recovery): $287,000</w:t>
            </w:r>
          </w:p>
          <w:p>
            <w:pPr>
              <w:spacing w:after="60"/>
            </w:pPr>
            <w:r>
              <w:rPr>
                <w:rFonts w:ascii="Arial" w:cs="Arial" w:eastAsia="Arial" w:hAnsi="Arial"/>
                <w:color w:val="1e293b"/>
                <w:sz w:val="22"/>
                <w:szCs w:val="22"/>
              </w:rPr>
              <w:t xml:space="preserve">24-hour cart reminder emails: $190,000</w:t>
            </w:r>
          </w:p>
          <w:p>
            <w:pPr>
              <w:spacing w:after="80"/>
            </w:pPr>
            <w:r>
              <w:rPr>
                <w:rFonts w:ascii="Arial" w:cs="Arial" w:eastAsia="Arial" w:hAnsi="Arial"/>
                <w:color w:val="1e293b"/>
                <w:sz w:val="22"/>
                <w:szCs w:val="22"/>
              </w:rPr>
              <w:t xml:space="preserve">Day-6 reminder sequence: $85,000</w:t>
            </w:r>
          </w:p>
          <w:p>
            <w:pPr>
              <w:pBdr>
                <w:top w:val="single" w:color="CCCCCC" w:sz="4" w:space="8"/>
              </w:pBdr>
              <w:spacing w:after="0"/>
            </w:pPr>
            <w:r>
              <w:rPr>
                <w:rFonts w:ascii="Arial" w:cs="Arial" w:eastAsia="Arial" w:hAnsi="Arial"/>
                <w:b/>
                <w:bCs/>
                <w:color w:val="16A34A"/>
                <w:sz w:val="28"/>
                <w:szCs w:val="28"/>
              </w:rPr>
              <w:t xml:space="preserve">Total opportunity (annual estimate):  $1,197,000+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CA8A04"/>
                <w:sz w:val="26"/>
                <w:szCs w:val="26"/>
              </w:rPr>
              <w:t xml:space="preserve">SECTION 8   </w:t>
            </w:r>
            <w:r>
              <w:rPr>
                <w:rFonts w:ascii="Arial" w:cs="Arial" w:eastAsia="Arial" w:hAnsi="Arial"/>
                <w:b/>
                <w:bCs/>
                <w:color w:val="FFFFFF"/>
                <w:sz w:val="26"/>
                <w:szCs w:val="26"/>
              </w:rPr>
              <w:t xml:space="preserve">TECHNICAL APPENDIX</w:t>
            </w:r>
          </w:p>
        </w:tc>
      </w:tr>
    </w:tbl>
    <w:p>
      <w:pPr>
        <w:spacing w:after="120"/>
      </w:pPr>
    </w:p>
    <w:p>
      <w:pPr>
        <w:pStyle w:val="Heading2"/>
        <w:spacing w:before="240" w:after="100"/>
      </w:pPr>
      <w:r>
        <w:rPr>
          <w:rFonts w:ascii="Arial" w:cs="Arial" w:eastAsia="Arial" w:hAnsi="Arial"/>
          <w:b/>
          <w:bCs/>
          <w:color w:val="1E3A5F"/>
          <w:sz w:val="28"/>
          <w:szCs w:val="28"/>
        </w:rPr>
        <w:t xml:space="preserve">A.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File</w:t>
            </w:r>
          </w:p>
        </w:tc>
        <w:tc>
          <w:tcPr>
            <w:tcW w:type="dxa" w:w="50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ecommerce_analysis.ipynb</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Main notebook — all SQL, analysis, modelling, and charts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ecommerce_dashboard_final.html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Interactive 8-chart stakeholder dashboard — browser only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data_science_summary.html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Churn + forecast combined model summary dashboard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2019-Oct.csv to 2020-Feb.csv</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Raw data files (Google Drive mount)</w:t>
            </w:r>
          </w:p>
        </w:tc>
      </w:tr>
    </w:tbl>
    <w:p>
      <w:pPr>
        <w:spacing w:after="160"/>
      </w:pPr>
    </w:p>
    <w:p>
      <w:pPr>
        <w:pStyle w:val="Heading2"/>
        <w:spacing w:before="240" w:after="100"/>
      </w:pPr>
      <w:r>
        <w:rPr>
          <w:rFonts w:ascii="Arial" w:cs="Arial" w:eastAsia="Arial" w:hAnsi="Arial"/>
          <w:b/>
          <w:bCs/>
          <w:color w:val="1E3A5F"/>
          <w:sz w:val="28"/>
          <w:szCs w:val="28"/>
        </w:rPr>
        <w:t xml:space="preserve">B.  Model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c>
          <w:tcPr>
            <w:tcW w:type="dxa" w:w="28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Justification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n_estimators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300 trees for stable vote — diminishing returns above this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max_depth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Prevents overfitting on 72K samples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min_samples_leaf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Ensures each prediction covers real customer groups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class_weight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balanced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Corrects for 85%/15% churn/retained imbalance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CV folds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5 stratified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Verifies model stability across data slices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Prophet interval_width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0.95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95% confidence — honest uncertainty range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changepoint_prior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Conservative trend — avoids overreacting to noise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BF holiday window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-3 to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4748B"/>
                <w:sz w:val="20"/>
                <w:szCs w:val="20"/>
              </w:rPr>
              <w:t xml:space="preserve">Captures full Black Friday promotion cycle</w:t>
            </w:r>
          </w:p>
        </w:tc>
      </w:tr>
    </w:tbl>
    <w:p>
      <w:pPr>
        <w:spacing w:after="160"/>
      </w:pPr>
    </w:p>
    <w:p>
      <w:pPr>
        <w:pStyle w:val="Heading2"/>
        <w:spacing w:before="240" w:after="100"/>
      </w:pPr>
      <w:r>
        <w:rPr>
          <w:rFonts w:ascii="Arial" w:cs="Arial" w:eastAsia="Arial" w:hAnsi="Arial"/>
          <w:b/>
          <w:bCs/>
          <w:color w:val="1E3A5F"/>
          <w:sz w:val="28"/>
          <w:szCs w:val="28"/>
        </w:rPr>
        <w:t xml:space="preserve">C.  Limitations &amp; Next Steps</w:t>
      </w:r>
    </w:p>
    <w:p>
      <w:pPr>
        <w:pStyle w:val="ListParagraph"/>
        <w:numPr>
          <w:ilvl w:val="0"/>
          <w:numId w:val="2"/>
        </w:numPr>
        <w:spacing w:after="80"/>
      </w:pPr>
      <w:r>
        <w:rPr>
          <w:rFonts w:ascii="Arial" w:cs="Arial" w:eastAsia="Arial" w:hAnsi="Arial"/>
          <w:color w:val="1e293b"/>
          <w:sz w:val="22"/>
          <w:szCs w:val="22"/>
        </w:rPr>
        <w:t xml:space="preserve">5 months of data limits Prophet’s yearly seasonality detection. 12+ months would significantly narrow forecast confidence intervals.</w:t>
      </w:r>
    </w:p>
    <w:p>
      <w:pPr>
        <w:pStyle w:val="ListParagraph"/>
        <w:numPr>
          <w:ilvl w:val="0"/>
          <w:numId w:val="2"/>
        </w:numPr>
        <w:spacing w:after="80"/>
      </w:pPr>
      <w:r>
        <w:rPr>
          <w:rFonts w:ascii="Arial" w:cs="Arial" w:eastAsia="Arial" w:hAnsi="Arial"/>
          <w:color w:val="1e293b"/>
          <w:sz w:val="22"/>
          <w:szCs w:val="22"/>
        </w:rPr>
        <w:t xml:space="preserve">Churn model uses binary labels. A softer score based on declining purchase frequency would add nuance.</w:t>
      </w:r>
    </w:p>
    <w:p>
      <w:pPr>
        <w:pStyle w:val="ListParagraph"/>
        <w:numPr>
          <w:ilvl w:val="0"/>
          <w:numId w:val="2"/>
        </w:numPr>
        <w:spacing w:after="80"/>
      </w:pPr>
      <w:r>
        <w:rPr>
          <w:rFonts w:ascii="Arial" w:cs="Arial" w:eastAsia="Arial" w:hAnsi="Arial"/>
          <w:color w:val="1e293b"/>
          <w:sz w:val="22"/>
          <w:szCs w:val="22"/>
        </w:rPr>
        <w:t xml:space="preserve">Cart abandonment conversion model (predicting which carts respond to reminders) is the highest-ROI next data science step.</w:t>
      </w:r>
    </w:p>
    <w:p>
      <w:pPr>
        <w:pStyle w:val="ListParagraph"/>
        <w:numPr>
          <w:ilvl w:val="0"/>
          <w:numId w:val="2"/>
        </w:numPr>
        <w:spacing w:after="80"/>
      </w:pPr>
      <w:r>
        <w:rPr>
          <w:rFonts w:ascii="Arial" w:cs="Arial" w:eastAsia="Arial" w:hAnsi="Arial"/>
          <w:color w:val="1e293b"/>
          <w:sz w:val="22"/>
          <w:szCs w:val="22"/>
        </w:rPr>
        <w:t xml:space="preserve">Product recommendation engine using collaborative filtering on view/purchase events would add personalisation capability.</w:t>
      </w:r>
    </w:p>
    <w:p>
      <w:pPr>
        <w:pStyle w:val="ListParagraph"/>
        <w:numPr>
          <w:ilvl w:val="0"/>
          <w:numId w:val="2"/>
        </w:numPr>
        <w:spacing w:after="80"/>
      </w:pPr>
      <w:r>
        <w:rPr>
          <w:rFonts w:ascii="Arial" w:cs="Arial" w:eastAsia="Arial" w:hAnsi="Arial"/>
          <w:color w:val="1e293b"/>
          <w:sz w:val="22"/>
          <w:szCs w:val="22"/>
        </w:rPr>
        <w:t xml:space="preserve">Streamlit deployment would allow real-time churn score lookup by user ID without a data team.</w:t>
      </w:r>
    </w:p>
    <w:p>
      <w:pPr>
        <w:spacing w:after="200"/>
      </w:pPr>
    </w:p>
    <w:p>
      <w:pPr>
        <w:pBdr>
          <w:top w:val="single" w:color="2563EB" w:sz="6" w:space="8"/>
        </w:pBdr>
        <w:spacing w:before="400"/>
        <w:jc w:val="center"/>
      </w:pPr>
      <w:r>
        <w:rPr>
          <w:rFonts w:ascii="Arial" w:cs="Arial" w:eastAsia="Arial" w:hAnsi="Arial"/>
          <w:color w:val="64748B"/>
          <w:sz w:val="20"/>
          <w:szCs w:val="20"/>
        </w:rPr>
        <w:t xml:space="preserve">End of Report  —  Ecommerce Analytics Project  —  Oct 2019–Feb 2020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tabs>
        <w:tab w:val="right" w:pos="9026"/>
      </w:tabs>
      <w:spacing w:before="80"/>
    </w:pPr>
    <w:r>
      <w:rPr>
        <w:rFonts w:ascii="Arial" w:cs="Arial" w:eastAsia="Arial" w:hAnsi="Arial"/>
        <w:color w:val="64748B"/>
        <w:sz w:val="18"/>
        <w:szCs w:val="18"/>
      </w:rPr>
      <w:t xml:space="preserve">Confidential  |  Data Science &amp; Analytics Report</w:t>
    </w:r>
    <w:r>
      <w:rPr>
        <w:rFonts w:ascii="Arial" w:cs="Arial" w:eastAsia="Arial" w:hAnsi="Arial"/>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0"/>
    </w:pPr>
    <w:r>
      <w:rPr>
        <w:rFonts w:ascii="Arial" w:cs="Arial" w:eastAsia="Arial" w:hAnsi="Arial"/>
        <w:color w:val="64748B"/>
        <w:sz w:val="18"/>
        <w:szCs w:val="18"/>
      </w:rPr>
      <w:t xml:space="preserve">Ecommerce Analytics  |  Beauty &amp; Nail Supplies  |  Oct 2019 – Feb 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E3A5F"/>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2026-03-15T01:39:39.863Z</dcterms:created>
  <dcterms:modified xsi:type="dcterms:W3CDTF">2026-03-15T01:39:39.864Z</dcterms:modified>
</cp:coreProperties>
</file>

<file path=docProps/custom.xml><?xml version="1.0" encoding="utf-8"?>
<Properties xmlns="http://schemas.openxmlformats.org/officeDocument/2006/custom-properties" xmlns:vt="http://schemas.openxmlformats.org/officeDocument/2006/docPropsVTypes"/>
</file>