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2C7A7B"/>
          <w:spacing w:val="40"/>
          <w:sz w:val="30"/>
          <w:szCs w:val="30"/>
        </w:rPr>
        <w:t xml:space="preserve">MENTESA</w:t>
      </w:r>
    </w:p>
    <w:p>
      <w:pPr>
        <w:spacing w:before="200"/>
        <w:jc w:val="center"/>
      </w:pPr>
      <w:r>
        <w:rPr>
          <w:b/>
          <w:bCs/>
          <w:color w:val="1F3552"/>
          <w:sz w:val="56"/>
          <w:szCs w:val="56"/>
        </w:rPr>
        <w:t xml:space="preserve">Plano de Marketing e Aquisição</w:t>
      </w:r>
    </w:p>
    <w:p>
      <w:pPr>
        <w:spacing w:after="400" w:before="120"/>
        <w:jc w:val="center"/>
      </w:pPr>
      <w:r>
        <w:rPr>
          <w:color w:val="595959"/>
          <w:sz w:val="30"/>
          <w:szCs w:val="30"/>
        </w:rPr>
        <w:t xml:space="preserve">Captação de pacientes e psicólogos via Instagram e TikTok</w:t>
      </w:r>
    </w:p>
    <w:p>
      <w:pPr>
        <w:pBdr>
          <w:top w:val="single" w:color="2C7A7B" w:sz="6" w:space="8"/>
        </w:pBdr>
        <w:spacing w:before="800"/>
        <w:jc w:val="center"/>
      </w:pPr>
    </w:p>
    <w:p>
      <w:pPr>
        <w:spacing w:before="300"/>
        <w:jc w:val="center"/>
      </w:pPr>
      <w:r>
        <w:rPr>
          <w:color w:val="595959"/>
          <w:sz w:val="22"/>
          <w:szCs w:val="22"/>
        </w:rPr>
        <w:t xml:space="preserve">Lançamento nacional  |  Orçamento enxuto (orgânico + mídia paga incremental)</w:t>
      </w:r>
    </w:p>
    <w:p>
      <w:pPr>
        <w:spacing w:before="120"/>
        <w:jc w:val="center"/>
      </w:pPr>
      <w:r>
        <w:rPr>
          <w:color w:val="595959"/>
          <w:sz w:val="22"/>
          <w:szCs w:val="22"/>
        </w:rPr>
        <w:t xml:space="preserve">Julho de 2026</w:t>
      </w:r>
    </w:p>
    <w:p>
      <w:pPr>
        <w:spacing w:before="2400"/>
        <w:jc w:val="center"/>
      </w:pPr>
      <w:r>
        <w:rPr>
          <w:i/>
          <w:iCs/>
          <w:color w:val="595959"/>
          <w:sz w:val="16"/>
          <w:szCs w:val="16"/>
        </w:rPr>
        <w:t xml:space="preserve">Documento preparado para uso interno — orientação estratégica, não constitui aconselhamento jurídico.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C7A7B" w:sz="6" w:space="4"/>
        </w:pBdr>
        <w:spacing w:after="160" w:before="360"/>
      </w:pPr>
      <w:r>
        <w:rPr>
          <w:b/>
          <w:bCs/>
          <w:color w:val="1F3552"/>
          <w:sz w:val="30"/>
          <w:szCs w:val="30"/>
        </w:rPr>
        <w:t xml:space="preserve">1. Sumário executivo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A MenteSa é um marketplace de dois lados: conecta psicólogos/psiquiatras verificados a pacientes, com agendamento, telehealth, prontuário eletrônico e pagamento integrados. Como todo marketplace, seu crescimento depende de equilibrar oferta (profissionais) e demanda (pacientes) — anunciar para pacientes sem uma base sólida de psicólogos gera frustração e churn; captar psicólogos sem fluxo de pacientes gera abandono da plataforma.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Este plano define uma estratégia de aquisição via Instagram e TikTok com orçamento enxuto, priorizando conteúdo orgânico e parcerias, com investimento pago crescente e condicionado a métricas. A sequência recomendada é oferta antes de demanda: construir uma massa crítica de profissionais verificados nas praças prioritárias antes de escalar a aquisição de pacientes com mídia paga.</w:t>
      </w:r>
    </w:p>
    <w:p>
      <w:pPr>
        <w:spacing w:after="160" w:line="300"/>
        <w:jc w:val="both"/>
      </w:pPr>
      <w:r>
        <w:rPr>
          <w:b/>
          <w:bCs/>
          <w:sz w:val="22"/>
          <w:szCs w:val="22"/>
        </w:rPr>
        <w:t xml:space="preserve">Pontos centrais deste plano: 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F3552"/>
          <w:sz w:val="22"/>
          <w:szCs w:val="22"/>
        </w:rPr>
        <w:t xml:space="preserve">Dois funis, uma marca — </w:t>
      </w:r>
      <w:r>
        <w:rPr>
          <w:sz w:val="22"/>
          <w:szCs w:val="22"/>
        </w:rPr>
        <w:t xml:space="preserve">Estratégia dividida por lado do marketplace, com metas e táticas próprias para psicólogos e para pacientes.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F3552"/>
          <w:sz w:val="22"/>
          <w:szCs w:val="22"/>
        </w:rPr>
        <w:t xml:space="preserve">Papel de cada rede — </w:t>
      </w:r>
      <w:r>
        <w:rPr>
          <w:sz w:val="22"/>
          <w:szCs w:val="22"/>
        </w:rPr>
        <w:t xml:space="preserve">TikTok funciona como motor de alcance e educação (topo de funil); Instagram como motor de conversão e retenção (meio/fundo de funil).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F3552"/>
          <w:sz w:val="22"/>
          <w:szCs w:val="22"/>
        </w:rPr>
        <w:t xml:space="preserve">Compliance ético como restrição de design — </w:t>
      </w:r>
      <w:r>
        <w:rPr>
          <w:sz w:val="22"/>
          <w:szCs w:val="22"/>
        </w:rPr>
        <w:t xml:space="preserve">Toda comunicação segue as normas do Conselho Federal de Psicologia (CFP) sobre publicidade — restrição central que molda o tom, o formato e o que pode e não pode ser dito nos anúncios e conteúdos.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F3552"/>
          <w:sz w:val="22"/>
          <w:szCs w:val="22"/>
        </w:rPr>
        <w:t xml:space="preserve">Orçamento enxuto — </w:t>
      </w:r>
      <w:r>
        <w:rPr>
          <w:sz w:val="22"/>
          <w:szCs w:val="22"/>
        </w:rPr>
        <w:t xml:space="preserve">90% do orçamento em conteúdo orgânico, criadores parceiros e comunidade nos primeiros 2–3 meses; mídia paga entra depois de validar criativos e funil, e escala com base em CAC e LTV reais.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F3552"/>
          <w:sz w:val="22"/>
          <w:szCs w:val="22"/>
        </w:rPr>
        <w:t xml:space="preserve">Rollout nacional em ondas — </w:t>
      </w:r>
      <w:r>
        <w:rPr>
          <w:sz w:val="22"/>
          <w:szCs w:val="22"/>
        </w:rPr>
        <w:t xml:space="preserve">Lançamento faseado por praças (não Brasil inteiro de uma vez), replicando o que funcionar cidade a cidade.</w:t>
      </w:r>
    </w:p>
    <w:p>
      <w:pPr>
        <w:pStyle w:val="Heading1"/>
        <w:pBdr>
          <w:bottom w:val="single" w:color="2C7A7B" w:sz="6" w:space="4"/>
        </w:pBdr>
        <w:spacing w:after="160" w:before="360"/>
      </w:pPr>
      <w:r>
        <w:rPr>
          <w:b/>
          <w:bCs/>
          <w:color w:val="1F3552"/>
          <w:sz w:val="30"/>
          <w:szCs w:val="30"/>
        </w:rPr>
        <w:t xml:space="preserve">2. Contexto: por que marketplace de dois lados muda a estratégia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Diferente de um app de consumo único, a MenteSa tem duas audiências com motivações e objeções opostas. O psicólogo avalia se a plataforma vai gerar agenda cheia, se é seguro do ponto de vista ético e de dados, e se o esforço de cadastro compensa. O paciente avalia se vai encontrar um profissional confiável, se o processo é simples e se o preço/convênio é acessível. Anunciar de forma genérica para os dois públicos na mesma peça normalmente não converte bem nenhum dos dois — por isso este plano trata cada lado como uma campanha separada, com criativos, contas (ou segmentações) e métricas próprias, ainda que a marca e a identidade visual sejam únicas.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A ordem de prioridade recomendada segue a lógica clássica de marketplace: sem oferta suficiente e qualificada de psicólogos numa praça, o investimento em atrair pacientes queima orçamento e prejudica a percepção da marca (busca vazia, poucos horários disponíveis). Por isso a Fase 1 deste plano é fortemente inclinada para o lado da oferta.</w:t>
      </w:r>
    </w:p>
    <w:p>
      <w:pPr>
        <w:pStyle w:val="Heading1"/>
        <w:pBdr>
          <w:bottom w:val="single" w:color="2C7A7B" w:sz="6" w:space="4"/>
        </w:pBdr>
        <w:spacing w:after="160" w:before="360"/>
      </w:pPr>
      <w:r>
        <w:rPr>
          <w:b/>
          <w:bCs/>
          <w:color w:val="1F3552"/>
          <w:sz w:val="30"/>
          <w:szCs w:val="30"/>
        </w:rPr>
        <w:t xml:space="preserve">3. Compliance: o que o CFP permite e proíbe em publicidade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A publicidade de psicólogos e da própria plataforma precisa respeitar o Código de Ética Profissional do Psicólogo, a Nota Técnica CFP nº 01/2022 (uso profissional das redes sociais) e a Resolução CFP nº 09/2024 (prestação de serviços psicológicos por tecnologias digitais). Essas regras não são um detalhe jurídico secundário — elas definem os formatos de conteúdo possíveis e devem ser incorporadas ao briefing de qualquer criador, agência ou peça paga.</w:t>
      </w:r>
    </w:p>
    <w:p>
      <w:pPr>
        <w:spacing w:after="80" w:before="200"/>
      </w:pPr>
      <w:r>
        <w:rPr>
          <w:b/>
          <w:bCs/>
          <w:color w:val="1F3552"/>
          <w:sz w:val="22"/>
          <w:szCs w:val="22"/>
        </w:rPr>
        <w:t xml:space="preserve">Permitido e recomendado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Identificação obrigatória em qualquer peça que mencione um psicólogo nominalmente: nome completo, título "Psicóloga/o" e número de CRP (ex.: Psicóloga, Fernanda Lima, CRP-06/12345).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Conteúdo educativo e informativo: psicoeducação sobre saúde mental, mitos e verdades, como funciona uma sessão, quando buscar ajuda.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Bastidores institucionais da plataforma (não do atendimento clínico): como funciona o agendamento, como a verificação de profissionais é feita, tour pelo produto.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Divulgação de especialidades, abordagens teóricas, modalidades (online/presencial) e formação acadêmica do profissional.</w:t>
      </w:r>
    </w:p>
    <w:p>
      <w:pPr>
        <w:spacing w:after="80" w:before="200"/>
      </w:pPr>
      <w:r>
        <w:rPr>
          <w:b/>
          <w:bCs/>
          <w:color w:val="1F3552"/>
          <w:sz w:val="22"/>
          <w:szCs w:val="22"/>
        </w:rPr>
        <w:t xml:space="preserve">Proibido — não incluir em nenhuma peça, criador ou anúncio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Diagnóstico, análise de caso, aconselhamento psicológico dirigido a uma pessoa identificável, ou qualquer conteúdo que simule uma sessão real.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Depoimentos de pacientes reais sobre resultado clínico, fotos de pacientes, ou qualquer material que permita identificar quem está em atendimento.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Promessa de cura, resultado garantido, comparação de eficácia com outros profissionais ou abordagens, e qualquer apelo que sugira urgência/pânico ("se você sente X, você tem Y").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Preço ou condição promocional apresentados de forma que pareça "leilão" ou mercantilização do atendimento (a plataforma pode divulgar suas próprias condições comerciais de assinatura, mas o conteúdo do psicólogo individual não deve girar em torno de desconto/preço).</w:t>
      </w:r>
    </w:p>
    <w:p>
      <w:pPr>
        <w:spacing w:after="160" w:line="300"/>
        <w:jc w:val="both"/>
      </w:pPr>
      <w:r>
        <w:rPr>
          <w:i/>
          <w:iCs/>
          <w:color w:val="595959"/>
          <w:sz w:val="20"/>
          <w:szCs w:val="20"/>
        </w:rPr>
        <w:t xml:space="preserve">Recomenda-se um checklist de compliance assinado por cada criador/parceiro antes da publicação, e revisão por alguém com conhecimento do Código de Ética antes de qualquer campanha paga ir ao ar.</w:t>
      </w:r>
    </w:p>
    <w:p>
      <w:pPr>
        <w:pStyle w:val="Heading1"/>
        <w:pBdr>
          <w:bottom w:val="single" w:color="2C7A7B" w:sz="6" w:space="4"/>
        </w:pBdr>
        <w:spacing w:after="160" w:before="360"/>
      </w:pPr>
      <w:r>
        <w:rPr>
          <w:b/>
          <w:bCs/>
          <w:color w:val="1F3552"/>
          <w:sz w:val="30"/>
          <w:szCs w:val="30"/>
        </w:rPr>
        <w:t xml:space="preserve">4. Públicos e personas</w:t>
      </w:r>
    </w:p>
    <w:p>
      <w:pPr>
        <w:pStyle w:val="Heading2"/>
        <w:spacing w:after="120" w:before="280"/>
      </w:pPr>
      <w:r>
        <w:rPr>
          <w:b/>
          <w:bCs/>
          <w:color w:val="2C7A7B"/>
          <w:sz w:val="24"/>
          <w:szCs w:val="24"/>
        </w:rPr>
        <w:t xml:space="preserve">4.1 Lado oferta — psicólogos e psiquiatras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500"/>
        <w:gridCol w:w="2500"/>
      </w:tblGrid>
      <w:tr>
        <w:trPr>
          <w:tblHeader/>
        </w:trPr>
        <w:tc>
          <w:tcPr>
            <w:tcW w:type="dxa" w:w="17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26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25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Principal objeção</w:t>
            </w:r>
          </w:p>
        </w:tc>
        <w:tc>
          <w:tcPr>
            <w:tcW w:type="dxa" w:w="25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Gatilho de conversão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Recém-formado(a) digital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24–30 anos, monta consultório do zero, já usa Instagram/TikTok pessoalmente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"Vou conseguir pacientes de verdade?"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Prova de fluxo de pacientes + facilidade de configurar agenda em minutos</w:t>
            </w:r>
          </w:p>
        </w:tc>
      </w:tr>
      <w:tr>
        <w:tc>
          <w:tcPr>
            <w:tcW w:type="dxa" w:w="17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Clínico(a) estabelecido(a)</w:t>
            </w:r>
          </w:p>
        </w:tc>
        <w:tc>
          <w:tcPr>
            <w:tcW w:type="dxa" w:w="26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35–50 anos, consultório físico cheio, quer digitalizar parte da agenda</w:t>
            </w:r>
          </w:p>
        </w:tc>
        <w:tc>
          <w:tcPr>
            <w:tcW w:type="dxa" w:w="25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"Meu tempo já é escasso, vale o esforço de migrar?"</w:t>
            </w:r>
          </w:p>
        </w:tc>
        <w:tc>
          <w:tcPr>
            <w:tcW w:type="dxa" w:w="25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Prontuário/EHR + telehealth + redução de trabalho administrativo (lembretes, financeiro)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Psiquiatra parceiro(a)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Atua em rede com psicólogos, interessado em encaminhamento cruzado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"A plataforma é só para psicólogos?"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Diretório multiprofissional e fluxo de encaminhamento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Tabela 1 — Personas do lado profissional.</w:t>
      </w:r>
    </w:p>
    <w:p>
      <w:pPr>
        <w:pStyle w:val="Heading2"/>
        <w:spacing w:after="120" w:before="280"/>
      </w:pPr>
      <w:r>
        <w:rPr>
          <w:b/>
          <w:bCs/>
          <w:color w:val="2C7A7B"/>
          <w:sz w:val="24"/>
          <w:szCs w:val="24"/>
        </w:rPr>
        <w:t xml:space="preserve">4.2 Lado demanda — pacientes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500"/>
        <w:gridCol w:w="2500"/>
      </w:tblGrid>
      <w:tr>
        <w:trPr>
          <w:tblHeader/>
        </w:trPr>
        <w:tc>
          <w:tcPr>
            <w:tcW w:type="dxa" w:w="17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26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25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Principal objeção</w:t>
            </w:r>
          </w:p>
        </w:tc>
        <w:tc>
          <w:tcPr>
            <w:tcW w:type="dxa" w:w="25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Gatilho de conversão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Geração Z em 1ª busca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18–26 anos, nunca fez terapia, descobre o tema em conteúdo educativo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"Não sei por onde começar / tenho vergonha"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Conteúdo que normaliza terapia + busca simples por preço/especialidade</w:t>
            </w:r>
          </w:p>
        </w:tc>
      </w:tr>
      <w:tr>
        <w:tc>
          <w:tcPr>
            <w:tcW w:type="dxa" w:w="17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Adulto em transição</w:t>
            </w:r>
          </w:p>
        </w:tc>
        <w:tc>
          <w:tcPr>
            <w:tcW w:type="dxa" w:w="26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27–40 anos, já fez terapia antes, busca praticidade (online, horário flexível)</w:t>
            </w:r>
          </w:p>
        </w:tc>
        <w:tc>
          <w:tcPr>
            <w:tcW w:type="dxa" w:w="25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"Preciso de algo que caiba na minha rotina"</w:t>
            </w:r>
          </w:p>
        </w:tc>
        <w:tc>
          <w:tcPr>
            <w:tcW w:type="dxa" w:w="25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Agendamento online, telehealth, lembretes por WhatsApp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Responsável por terceiros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35–55 anos, busca terapia para filho(a)/familiar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"Como sei que o profissional é confiável?"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Diretório verificado, filtros por especialidade e abordagem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Tabela 2 — Personas do lado paciente.</w:t>
      </w:r>
    </w:p>
    <w:p>
      <w:pPr>
        <w:pStyle w:val="Heading1"/>
        <w:pBdr>
          <w:bottom w:val="single" w:color="2C7A7B" w:sz="6" w:space="4"/>
        </w:pBdr>
        <w:spacing w:after="160" w:before="360"/>
      </w:pPr>
      <w:r>
        <w:rPr>
          <w:b/>
          <w:bCs/>
          <w:color w:val="1F3552"/>
          <w:sz w:val="30"/>
          <w:szCs w:val="30"/>
        </w:rPr>
        <w:t xml:space="preserve">5. Papel de cada rede social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3800"/>
      </w:tblGrid>
      <w:tr>
        <w:trPr>
          <w:tblHeader/>
        </w:trPr>
        <w:tc>
          <w:tcPr>
            <w:tcW w:type="dxa" w:w="17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38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TikTok</w:t>
            </w:r>
          </w:p>
        </w:tc>
        <w:tc>
          <w:tcPr>
            <w:tcW w:type="dxa" w:w="38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Instagram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Função no funil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Topo — alcance, descoberta, viralização de conteúdo educativo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Meio/fundo — aprofundamento, prova social institucional e conversão</w:t>
            </w:r>
          </w:p>
        </w:tc>
      </w:tr>
      <w:tr>
        <w:tc>
          <w:tcPr>
            <w:tcW w:type="dxa" w:w="17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Formato principal</w:t>
            </w:r>
          </w:p>
        </w:tc>
        <w:tc>
          <w:tcPr>
            <w:tcW w:type="dxa" w:w="38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Vídeos curtos (15–60s), tendências de áudio, linguagem direta</w:t>
            </w:r>
          </w:p>
        </w:tc>
        <w:tc>
          <w:tcPr>
            <w:tcW w:type="dxa" w:w="38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Reels (reaproveitados do TikTok), Carrosséis educativos, Stories, perfil como "vitrine"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Mais informal, rápido, gancho nos primeiros 2 segundos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Mais institucional, cuidado visual, prova de credibilidade (selo de verificação, CRP)</w:t>
            </w:r>
          </w:p>
        </w:tc>
      </w:tr>
      <w:tr>
        <w:tc>
          <w:tcPr>
            <w:tcW w:type="dxa" w:w="17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Uso para psicólogos (oferta)</w:t>
            </w:r>
          </w:p>
        </w:tc>
        <w:tc>
          <w:tcPr>
            <w:tcW w:type="dxa" w:w="38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Criadores parceiros mostram bastidores da profissão, desmistificam a carreira digital</w:t>
            </w:r>
          </w:p>
        </w:tc>
        <w:tc>
          <w:tcPr>
            <w:tcW w:type="dxa" w:w="38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Perfil institucional com cases de profissionais parceiros, tour do painel do profissional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Uso para pacientes (demanda)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Psicoeducação viral, "a terapia não é só para crise", quebra de estigma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Bio com link direto de busca, Stories destacados por especialidade/cidade, prova social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Tabela 3 — Divisão de papéis entre TikTok e Instagram no funil de aquisição.</w:t>
      </w:r>
    </w:p>
    <w:p>
      <w:pPr>
        <w:pStyle w:val="Heading1"/>
        <w:pBdr>
          <w:bottom w:val="single" w:color="2C7A7B" w:sz="6" w:space="4"/>
        </w:pBdr>
        <w:spacing w:after="160" w:before="360"/>
      </w:pPr>
      <w:r>
        <w:rPr>
          <w:b/>
          <w:bCs/>
          <w:color w:val="1F3552"/>
          <w:sz w:val="30"/>
          <w:szCs w:val="30"/>
        </w:rPr>
        <w:t xml:space="preserve">6. Estratégia — lado oferta (psicólogos)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Meta da Fase 1: atingir massa crítica de profissionais verificados nas praças de lançamento antes de investir pesado em pacientes. Sem isso, a experiência de busca fica vazia e a primeira impressão da marca é ruim.</w:t>
      </w:r>
    </w:p>
    <w:p>
      <w:pPr>
        <w:pStyle w:val="Heading2"/>
        <w:spacing w:after="120" w:before="280"/>
      </w:pPr>
      <w:r>
        <w:rPr>
          <w:b/>
          <w:bCs/>
          <w:color w:val="2C7A7B"/>
          <w:sz w:val="24"/>
          <w:szCs w:val="24"/>
        </w:rPr>
        <w:t xml:space="preserve">6.1 Táticas orgânicas (custo baixo/zero)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Perfil institucional voltado a profissionais (ou segmentação de conteúdo dentro do perfil principal) com conteúdo sobre gestão de consultório, marketing ético para psicólogos e bastidores da plataforma — cria fluxo de entrada de quem já busca esse tipo de conteúdo.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Programa de embaixadores: psicólogos early adopters recebem destaque no diretório e Selo "Perfil Fundador" em troca de depoimento sobre a própria experiência de uso da ferramenta (não sobre pacientes) em vídeo curto.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Parcerias com associações estudantis de Psicologia e ligas acadêmicas para apresentações sobre transição para consultório digital — gera lista de leads qualificados de recém-formados.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Conteúdo educativo sobre a Resolução CFP nº 09/2024 (TDICs) e como a plataforma já nasce em conformidade — argumento de confiança forte para o público profissional, que é mais cético a ferramentas genéricas.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Grupos fechados (Comunidade no Instagram/WhatsApp) para profissionais cadastrados trocarem experiências — aumenta retenção e vira fonte de indicação boca a boca.</w:t>
      </w:r>
    </w:p>
    <w:p>
      <w:pPr>
        <w:pStyle w:val="Heading2"/>
        <w:spacing w:after="120" w:before="280"/>
      </w:pPr>
      <w:r>
        <w:rPr>
          <w:b/>
          <w:bCs/>
          <w:color w:val="2C7A7B"/>
          <w:sz w:val="24"/>
          <w:szCs w:val="24"/>
        </w:rPr>
        <w:t xml:space="preserve">6.2 Táticas pagas (quando o orçamento permitir)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Anúncios segmentados por interesse ("psicologia clínica", "consultório particular", páginas de conselhos regionais) e por formação (LinkedIn como canal complementar, fora do escopo principal deste plano mas recomendado como teste de baixo custo).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Impulsionamento de depoimentos de embaixadores (Fase 6.1) para lookalike de psicólogos já cadastrados.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Programa de indicação: profissional cadastrado indica colega e ambos recebem benefício (ex.: mensalidade reduzida por período) — mais barato que mídia paga e reforça rede orgânica.</w:t>
      </w:r>
    </w:p>
    <w:p>
      <w:pPr>
        <w:pStyle w:val="Heading1"/>
        <w:pBdr>
          <w:bottom w:val="single" w:color="2C7A7B" w:sz="6" w:space="4"/>
        </w:pBdr>
        <w:spacing w:after="160" w:before="360"/>
      </w:pPr>
      <w:r>
        <w:rPr>
          <w:b/>
          <w:bCs/>
          <w:color w:val="1F3552"/>
          <w:sz w:val="30"/>
          <w:szCs w:val="30"/>
        </w:rPr>
        <w:t xml:space="preserve">7. Estratégia — lado demanda (pacientes)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A entrada de pacientes só deve escalar com mídia paga depois que a Fase 1 (oferta) atingir a meta mínima de profissionais ativos por praça. Até lá, o foco é aquecer audiência e SEO social.</w:t>
      </w:r>
    </w:p>
    <w:p>
      <w:pPr>
        <w:pStyle w:val="Heading2"/>
        <w:spacing w:after="120" w:before="280"/>
      </w:pPr>
      <w:r>
        <w:rPr>
          <w:b/>
          <w:bCs/>
          <w:color w:val="2C7A7B"/>
          <w:sz w:val="24"/>
          <w:szCs w:val="24"/>
        </w:rPr>
        <w:t xml:space="preserve">7.1 Pilares de conteúdo (aplicáveis a TikTok e adaptados ao Instagram)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F3552"/>
          <w:sz w:val="22"/>
          <w:szCs w:val="22"/>
        </w:rPr>
        <w:t xml:space="preserve">Psicoeducação — </w:t>
      </w:r>
      <w:r>
        <w:rPr>
          <w:sz w:val="22"/>
          <w:szCs w:val="22"/>
        </w:rPr>
        <w:t xml:space="preserve">Vídeos curtos que respondem dúvidas comuns: "terapia online funciona?", "quanto custa", "como saber se preciso", "diferença entre psicólogo e psiquiatra".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F3552"/>
          <w:sz w:val="22"/>
          <w:szCs w:val="22"/>
        </w:rPr>
        <w:t xml:space="preserve">Como funciona a terapia — </w:t>
      </w:r>
      <w:r>
        <w:rPr>
          <w:sz w:val="22"/>
          <w:szCs w:val="22"/>
        </w:rPr>
        <w:t xml:space="preserve">Conteúdo sobre como escolher um profissional, o que perguntar na primeira sessão, o que esperar do processo — sem citar caso real.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F3552"/>
          <w:sz w:val="22"/>
          <w:szCs w:val="22"/>
        </w:rPr>
        <w:t xml:space="preserve">Tour de produto — </w:t>
      </w:r>
      <w:r>
        <w:rPr>
          <w:sz w:val="22"/>
          <w:szCs w:val="22"/>
        </w:rPr>
        <w:t xml:space="preserve">Explicações simples do fluxo: buscar por especialidade/cidade/convênio, agendar, pagar por Pix, receber lembrete no WhatsApp.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F3552"/>
          <w:sz w:val="22"/>
          <w:szCs w:val="22"/>
        </w:rPr>
        <w:t xml:space="preserve">Calendário de saúde mental — </w:t>
      </w:r>
      <w:r>
        <w:rPr>
          <w:sz w:val="22"/>
          <w:szCs w:val="22"/>
        </w:rPr>
        <w:t xml:space="preserve">Datas como Setembro Amarelo, Janeiro Branco e Dia Mundial da Saúde Mental como âncoras de calendário editorial e de campanhas pagas sazonais.</w:t>
      </w:r>
    </w:p>
    <w:p>
      <w:pPr>
        <w:pStyle w:val="Heading2"/>
        <w:spacing w:after="120" w:before="280"/>
      </w:pPr>
      <w:r>
        <w:rPr>
          <w:b/>
          <w:bCs/>
          <w:color w:val="2C7A7B"/>
          <w:sz w:val="24"/>
          <w:szCs w:val="24"/>
        </w:rPr>
        <w:t xml:space="preserve">7.2 Táticas orgânicas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Cadência mínima: 4–5 vídeos/semana no TikTok (reaproveitados como Reels no Instagram), 2–3 carrosséis/semana no Instagram, Stories diários com bastidores e enquetes.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Parcerias com micro e nano-influenciadores de bem-estar/saúde mental (5 mil–50 mil seguidores) — custo por parceria menor, engajamento mais alto, e público já sensibilizado ao tema. Priorizar criadores que sejam psicólogos ou tenham histórico de conteúdo responsável sobre saúde mental.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SEO de perfil: bio com link direto para busca por cidade, destaques organizados por especialidade, uso consistente de palavras-chave ("terapia online", "psicólogo perto de mim") nas legendas.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UGC (conteúdo gerado por usuário) do próprio time e de profissionais parceiros mostrando a plataforma, nunca sessões reais.</w:t>
      </w:r>
    </w:p>
    <w:p>
      <w:pPr>
        <w:pStyle w:val="Heading2"/>
        <w:spacing w:after="120" w:before="280"/>
      </w:pPr>
      <w:r>
        <w:rPr>
          <w:b/>
          <w:bCs/>
          <w:color w:val="2C7A7B"/>
          <w:sz w:val="24"/>
          <w:szCs w:val="24"/>
        </w:rPr>
        <w:t xml:space="preserve">7.3 Táticas pagas (entrada gradual)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Começar com orçamento de teste (sugestão: 10–15% do orçamento mensal de marketing) para validar 3–5 criativos diferentes antes de escalar.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Priorizar campanhas de tráfego para a busca do diretório por cidade (praça de lançamento), não para o app/site genérico — mede-se intenção real, não só alcance.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Retargeting de quem visitou o diretório mas não agendou — criativo focado em "veja profissionais disponíveis esta semana em [cidade]".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Impulsionamento dos vídeos orgânicos que já performaram bem (custo por resultado menor que criar anúncio do zero).</w:t>
      </w:r>
    </w:p>
    <w:p>
      <w:pPr>
        <w:pStyle w:val="Heading1"/>
        <w:pBdr>
          <w:bottom w:val="single" w:color="2C7A7B" w:sz="6" w:space="4"/>
        </w:pBdr>
        <w:spacing w:after="160" w:before="360"/>
      </w:pPr>
      <w:r>
        <w:rPr>
          <w:b/>
          <w:bCs/>
          <w:color w:val="1F3552"/>
          <w:sz w:val="30"/>
          <w:szCs w:val="30"/>
        </w:rPr>
        <w:t xml:space="preserve">8. Funil de aquisição resumido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500"/>
        <w:gridCol w:w="2600"/>
      </w:tblGrid>
      <w:tr>
        <w:trPr>
          <w:tblHeader/>
        </w:trPr>
        <w:tc>
          <w:tcPr>
            <w:tcW w:type="dxa" w:w="16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6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5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Métrica-chave</w:t>
            </w:r>
          </w:p>
        </w:tc>
        <w:tc>
          <w:tcPr>
            <w:tcW w:type="dxa" w:w="26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 principal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Topo (Atração)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Alcançar quem ainda não considera terapia ou não conhece a plataforma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Alcance, visualizações, novos seguidores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Vídeos educativos no TikTok, Reels</w:t>
            </w:r>
          </w:p>
        </w:tc>
      </w:tr>
      <w:tr>
        <w:tc>
          <w:tcPr>
            <w:tcW w:type="dxa" w:w="16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Meio (Consideração)</w:t>
            </w:r>
          </w:p>
        </w:tc>
        <w:tc>
          <w:tcPr>
            <w:tcW w:type="dxa" w:w="26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Gerar confiança na marca e no processo</w:t>
            </w:r>
          </w:p>
        </w:tc>
        <w:tc>
          <w:tcPr>
            <w:tcW w:type="dxa" w:w="25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Cliques no link da bio, salvamentos, tempo de visualização</w:t>
            </w:r>
          </w:p>
        </w:tc>
        <w:tc>
          <w:tcPr>
            <w:tcW w:type="dxa" w:w="26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Carrosséis, Stories, prova social institucional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Fundo (Conversão)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Levar à busca no diretório e ao agendamento (ou ao cadastro, no lado profissional)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Cliques em "buscar profissional" / cadastros iniciados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Anúncios de tráfego segmentado, retargeting</w:t>
            </w:r>
          </w:p>
        </w:tc>
      </w:tr>
      <w:tr>
        <w:tc>
          <w:tcPr>
            <w:tcW w:type="dxa" w:w="16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Retenção</w:t>
            </w:r>
          </w:p>
        </w:tc>
        <w:tc>
          <w:tcPr>
            <w:tcW w:type="dxa" w:w="26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Manter engajamento pós-conversão e gerar indicação</w:t>
            </w:r>
          </w:p>
        </w:tc>
        <w:tc>
          <w:tcPr>
            <w:tcW w:type="dxa" w:w="25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Taxa de retorno, indicações, avaliações</w:t>
            </w:r>
          </w:p>
        </w:tc>
        <w:tc>
          <w:tcPr>
            <w:tcW w:type="dxa" w:w="26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Comunidade, e-mail/WhatsApp, programa de indicação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Tabela 4 — Funil aplicado a ambos os lados do marketplace.</w:t>
      </w:r>
    </w:p>
    <w:p>
      <w:r>
        <w:br w:type="page"/>
      </w:r>
    </w:p>
    <w:p>
      <w:pPr>
        <w:pStyle w:val="Heading1"/>
        <w:pBdr>
          <w:bottom w:val="single" w:color="2C7A7B" w:sz="6" w:space="4"/>
        </w:pBdr>
        <w:spacing w:after="160" w:before="360"/>
      </w:pPr>
      <w:r>
        <w:rPr>
          <w:b/>
          <w:bCs/>
          <w:color w:val="1F3552"/>
          <w:sz w:val="30"/>
          <w:szCs w:val="30"/>
        </w:rPr>
        <w:t xml:space="preserve">9. Calendário editorial — exemplo de semana-tipo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0"/>
        <w:gridCol w:w="4000"/>
      </w:tblGrid>
      <w:tr>
        <w:trPr>
          <w:tblHeader/>
        </w:trPr>
        <w:tc>
          <w:tcPr>
            <w:tcW w:type="dxa" w:w="13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Dia</w:t>
            </w:r>
          </w:p>
        </w:tc>
        <w:tc>
          <w:tcPr>
            <w:tcW w:type="dxa" w:w="40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TikTok</w:t>
            </w:r>
          </w:p>
        </w:tc>
        <w:tc>
          <w:tcPr>
            <w:tcW w:type="dxa" w:w="40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Instagram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Segunda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Vídeo educativo (mito x verdade)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Carrossel — mesmo tema, versão aprofundada</w:t>
            </w:r>
          </w:p>
        </w:tc>
      </w:tr>
      <w:tr>
        <w:tc>
          <w:tcPr>
            <w:tcW w:type="dxa" w:w="13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Terça</w:t>
            </w:r>
          </w:p>
        </w:tc>
        <w:tc>
          <w:tcPr>
            <w:tcW w:type="dxa" w:w="40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Bastidor institucional (verificação de profissionais)</w:t>
            </w:r>
          </w:p>
        </w:tc>
        <w:tc>
          <w:tcPr>
            <w:tcW w:type="dxa" w:w="40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Stories — enquete sobre o tema da semana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Quarta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Depoimento de embaixador (profissional) sobre uso da plataforma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Reels — reaproveitamento do vídeo de terça</w:t>
            </w:r>
          </w:p>
        </w:tc>
      </w:tr>
      <w:tr>
        <w:tc>
          <w:tcPr>
            <w:tcW w:type="dxa" w:w="13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Quinta</w:t>
            </w:r>
          </w:p>
        </w:tc>
        <w:tc>
          <w:tcPr>
            <w:tcW w:type="dxa" w:w="40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Tour rápido de funcionalidade (agendamento, telehealth)</w:t>
            </w:r>
          </w:p>
        </w:tc>
        <w:tc>
          <w:tcPr>
            <w:tcW w:type="dxa" w:w="40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Carrossel — "como funciona" passo a passo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Sexta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Conteúdo leve/tendência de áudio adaptado ao tema saúde mental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Stories — bastidor de sexta, humanização da marca</w:t>
            </w:r>
          </w:p>
        </w:tc>
      </w:tr>
      <w:tr>
        <w:tc>
          <w:tcPr>
            <w:tcW w:type="dxa" w:w="13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Fim de semana</w:t>
            </w:r>
          </w:p>
        </w:tc>
        <w:tc>
          <w:tcPr>
            <w:tcW w:type="dxa" w:w="40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Repost de melhor performance da semana + engajamento com comentários</w:t>
            </w:r>
          </w:p>
        </w:tc>
        <w:tc>
          <w:tcPr>
            <w:tcW w:type="dxa" w:w="40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Destaques atualizados, respostas a DMs/comentários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Tabela 5 — Modelo replicável; ajustar temas por praça e por data sazonal (Setembro Amarelo, Janeiro Branco etc.).</w:t>
      </w:r>
    </w:p>
    <w:p>
      <w:pPr>
        <w:pStyle w:val="Heading1"/>
        <w:pBdr>
          <w:bottom w:val="single" w:color="2C7A7B" w:sz="6" w:space="4"/>
        </w:pBdr>
        <w:spacing w:after="160" w:before="360"/>
      </w:pPr>
      <w:r>
        <w:rPr>
          <w:b/>
          <w:bCs/>
          <w:color w:val="1F3552"/>
          <w:sz w:val="30"/>
          <w:szCs w:val="30"/>
        </w:rPr>
        <w:t xml:space="preserve">10. Orçamento enxuto — alocação sugerida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Com orçamento enxuto, a prioridade é tempo e relacionamento antes de mídia paga. A alocação abaixo é indicativa para os primeiros 3 meses e deve ser revisada mensalmente com base em desempenho.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00"/>
      </w:tblGrid>
      <w:tr>
        <w:trPr>
          <w:tblHeader/>
        </w:trPr>
        <w:tc>
          <w:tcPr>
            <w:tcW w:type="dxa" w:w="38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14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do orçamento</w:t>
            </w:r>
          </w:p>
        </w:tc>
        <w:tc>
          <w:tcPr>
            <w:tcW w:type="dxa" w:w="41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Produção de conteúdo (edição, banco de imagens, ferramentas)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35%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Prioriza qualidade de vídeo curto; retorno alto mesmo sem mídia paga</w:t>
            </w:r>
          </w:p>
        </w:tc>
      </w:tr>
      <w:tr>
        <w:tc>
          <w:tcPr>
            <w:tcW w:type="dxa" w:w="38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Parcerias com criadores/micro-influenciadores</w:t>
            </w:r>
          </w:p>
        </w:tc>
        <w:tc>
          <w:tcPr>
            <w:tcW w:type="dxa" w:w="14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30%</w:t>
            </w:r>
          </w:p>
        </w:tc>
        <w:tc>
          <w:tcPr>
            <w:tcW w:type="dxa" w:w="41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Custo-benefício melhor que anúncio frio; gera confiança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Mídia paga — teste de criativos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15%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Orçamento diário baixo, múltiplas variações, decisão por dados</w:t>
            </w:r>
          </w:p>
        </w:tc>
      </w:tr>
      <w:tr>
        <w:tc>
          <w:tcPr>
            <w:tcW w:type="dxa" w:w="38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Mídia paga — escala (após validação)</w:t>
            </w:r>
          </w:p>
        </w:tc>
        <w:tc>
          <w:tcPr>
            <w:tcW w:type="dxa" w:w="14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10%</w:t>
            </w:r>
          </w:p>
        </w:tc>
        <w:tc>
          <w:tcPr>
            <w:tcW w:type="dxa" w:w="41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Só ativa quando CAC estiver dentro da meta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Programa de indicação (profissionais e pacientes)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5%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 de aquisição geralmente menor que mídia paga</w:t>
            </w:r>
          </w:p>
        </w:tc>
      </w:tr>
      <w:tr>
        <w:tc>
          <w:tcPr>
            <w:tcW w:type="dxa" w:w="38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Reserva/imprevistos</w:t>
            </w:r>
          </w:p>
        </w:tc>
        <w:tc>
          <w:tcPr>
            <w:tcW w:type="dxa" w:w="14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5%</w:t>
            </w:r>
          </w:p>
        </w:tc>
        <w:tc>
          <w:tcPr>
            <w:tcW w:type="dxa" w:w="41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Sazonalidade, oportunidades pontuais (datas de saúde mental)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Tabela 6 — Alocação percentual do orçamento mensal de marketing (Fase 1–2).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Regra de decisão: mídia paga só recebe aumento de orçamento quando o Custo de Aquisição de Cliente (CAC) de cada lado estiver abaixo da meta definida pelo time (a definir com base em ticket médio e LTV) por pelo menos duas semanas consecutivas.</w:t>
      </w:r>
    </w:p>
    <w:p>
      <w:pPr>
        <w:pStyle w:val="Heading1"/>
        <w:pBdr>
          <w:bottom w:val="single" w:color="2C7A7B" w:sz="6" w:space="4"/>
        </w:pBdr>
        <w:spacing w:after="160" w:before="360"/>
      </w:pPr>
      <w:r>
        <w:rPr>
          <w:b/>
          <w:bCs/>
          <w:color w:val="1F3552"/>
          <w:sz w:val="30"/>
          <w:szCs w:val="30"/>
        </w:rPr>
        <w:t xml:space="preserve">11. Métricas e KPIs por fase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50"/>
        <w:gridCol w:w="3650"/>
      </w:tblGrid>
      <w:tr>
        <w:trPr>
          <w:tblHeader/>
        </w:trPr>
        <w:tc>
          <w:tcPr>
            <w:tcW w:type="dxa" w:w="20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65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KPI de oferta (psicólogos)</w:t>
            </w:r>
          </w:p>
        </w:tc>
        <w:tc>
          <w:tcPr>
            <w:tcW w:type="dxa" w:w="365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KPI de demanda (pacientes)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Pré-lançamento (praça piloto)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Nº de profissionais verificados cadastrados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Lista de espera / e-mails captados</w:t>
            </w:r>
          </w:p>
        </w:tc>
      </w:tr>
      <w:tr>
        <w:tc>
          <w:tcPr>
            <w:tcW w:type="dxa" w:w="20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Lançamento local</w:t>
            </w:r>
          </w:p>
        </w:tc>
        <w:tc>
          <w:tcPr>
            <w:tcW w:type="dxa" w:w="365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Taxa de ativação (perfil completo + agenda configurada)</w:t>
            </w:r>
          </w:p>
        </w:tc>
        <w:tc>
          <w:tcPr>
            <w:tcW w:type="dxa" w:w="365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Taxa de conversão busca → agendamento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Expansão nacional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Nº de praças com massa crítica de oferta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CAC por praça, retenção em 30/60/90 dias</w:t>
            </w:r>
          </w:p>
        </w:tc>
      </w:tr>
      <w:tr>
        <w:tc>
          <w:tcPr>
            <w:tcW w:type="dxa" w:w="20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Maturidade</w:t>
            </w:r>
          </w:p>
        </w:tc>
        <w:tc>
          <w:tcPr>
            <w:tcW w:type="dxa" w:w="365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Churn de profissionais, indicações geradas</w:t>
            </w:r>
          </w:p>
        </w:tc>
        <w:tc>
          <w:tcPr>
            <w:tcW w:type="dxa" w:w="365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LTV, NPS, taxa de retorno para nova sessão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Tabela 7 — KPIs recomendados por fase de crescimento.</w:t>
      </w:r>
    </w:p>
    <w:p>
      <w:pPr>
        <w:pStyle w:val="Heading1"/>
        <w:pBdr>
          <w:bottom w:val="single" w:color="2C7A7B" w:sz="6" w:space="4"/>
        </w:pBdr>
        <w:spacing w:after="160" w:before="360"/>
      </w:pPr>
      <w:r>
        <w:rPr>
          <w:b/>
          <w:bCs/>
          <w:color w:val="1F3552"/>
          <w:sz w:val="30"/>
          <w:szCs w:val="30"/>
        </w:rPr>
        <w:t xml:space="preserve">12. Cronograma de lançamento nacional em ondas</w:t>
      </w:r>
    </w:p>
    <w:p>
      <w:pPr>
        <w:spacing w:after="160" w:line="300"/>
        <w:jc w:val="both"/>
      </w:pPr>
      <w:r>
        <w:rPr>
          <w:color w:val="222222"/>
          <w:sz w:val="22"/>
          <w:szCs w:val="22"/>
        </w:rPr>
        <w:t xml:space="preserve">Lançar as 27 unidades federativas simultaneamente dilui orçamento e atenção. Recomenda-se ondas de 2–3 praças por vez, priorizando capitais com maior densidade de psicólogos e de público digital ativo, replicando o playbook que funcionar antes de avançar para a próxima onda.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00"/>
      </w:tblGrid>
      <w:tr>
        <w:trPr>
          <w:tblHeader/>
        </w:trPr>
        <w:tc>
          <w:tcPr>
            <w:tcW w:type="dxa" w:w="12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Trimestre</w:t>
            </w:r>
          </w:p>
        </w:tc>
        <w:tc>
          <w:tcPr>
            <w:tcW w:type="dxa" w:w="42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Foco geográfico</w:t>
            </w:r>
          </w:p>
        </w:tc>
        <w:tc>
          <w:tcPr>
            <w:tcW w:type="dxa" w:w="3900"/>
            <w:shd w:fill="1F355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 de funil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1–2 praças piloto (ex.: capital com forte presença de startups de saúde)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Oferta — atingir massa crítica de profissionais</w:t>
            </w:r>
          </w:p>
        </w:tc>
      </w:tr>
      <w:tr>
        <w:tc>
          <w:tcPr>
            <w:tcW w:type="dxa" w:w="12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T2</w:t>
            </w:r>
          </w:p>
        </w:tc>
        <w:tc>
          <w:tcPr>
            <w:tcW w:type="dxa" w:w="42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Abertura de mídia paga na praça piloto + 2ª onda de praças (2–3 capitais)</w:t>
            </w:r>
          </w:p>
        </w:tc>
        <w:tc>
          <w:tcPr>
            <w:tcW w:type="dxa" w:w="39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Demanda — validar CAC e criativos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3ª onda de praças + escala de mídia paga nas praças validadas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Ambos os lados em paralelo, replicando playbook</w:t>
            </w:r>
          </w:p>
        </w:tc>
      </w:tr>
      <w:tr>
        <w:tc>
          <w:tcPr>
            <w:tcW w:type="dxa" w:w="12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T4</w:t>
            </w:r>
          </w:p>
        </w:tc>
        <w:tc>
          <w:tcPr>
            <w:tcW w:type="dxa" w:w="42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Consolidação nacional, entrada em cidades médias por indicação orgânica</w:t>
            </w:r>
          </w:p>
        </w:tc>
        <w:tc>
          <w:tcPr>
            <w:tcW w:type="dxa" w:w="3900"/>
            <w:shd w:fill="EA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Retenção e indicação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Tabela 8 — Cronograma trimestral indicativo; ajustar datas conforme calendário interno.</w:t>
      </w:r>
    </w:p>
    <w:p>
      <w:pPr>
        <w:pStyle w:val="Heading1"/>
        <w:pBdr>
          <w:bottom w:val="single" w:color="2C7A7B" w:sz="6" w:space="4"/>
        </w:pBdr>
        <w:spacing w:after="160" w:before="360"/>
      </w:pPr>
      <w:r>
        <w:rPr>
          <w:b/>
          <w:bCs/>
          <w:color w:val="1F3552"/>
          <w:sz w:val="30"/>
          <w:szCs w:val="30"/>
        </w:rPr>
        <w:t xml:space="preserve">13. Riscos e mitigação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F3552"/>
          <w:sz w:val="22"/>
          <w:szCs w:val="22"/>
        </w:rPr>
        <w:t xml:space="preserve">Risco ético/regulatório — </w:t>
      </w:r>
      <w:r>
        <w:rPr>
          <w:sz w:val="22"/>
          <w:szCs w:val="22"/>
        </w:rPr>
        <w:t xml:space="preserve">Não publicar nenhuma peça sem checklist de compliance revisado; treinar criadores parceiros na Nota Técnica CFP nº 01/2022 antes de qualquer colaboração.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F3552"/>
          <w:sz w:val="22"/>
          <w:szCs w:val="22"/>
        </w:rPr>
        <w:t xml:space="preserve">Desequilíbrio oferta/demanda — </w:t>
      </w:r>
      <w:r>
        <w:rPr>
          <w:sz w:val="22"/>
          <w:szCs w:val="22"/>
        </w:rPr>
        <w:t xml:space="preserve">Manter meta mínima de profissionais ativos por praça antes de abrir mídia paga de aquisição de pacientes nessa praça.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F3552"/>
          <w:sz w:val="22"/>
          <w:szCs w:val="22"/>
        </w:rPr>
        <w:t xml:space="preserve">Dependência de criador único — </w:t>
      </w:r>
      <w:r>
        <w:rPr>
          <w:sz w:val="22"/>
          <w:szCs w:val="22"/>
        </w:rPr>
        <w:t xml:space="preserve">Content pillars fixos e banco de ideias recorrente para evitar dependência de uma única pessoa ou tendência.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F3552"/>
          <w:sz w:val="22"/>
          <w:szCs w:val="22"/>
        </w:rPr>
        <w:t xml:space="preserve">Custo de aquisição acima do sustentável — </w:t>
      </w:r>
      <w:r>
        <w:rPr>
          <w:sz w:val="22"/>
          <w:szCs w:val="22"/>
        </w:rPr>
        <w:t xml:space="preserve">Congelar orçamento pago até revisão semanal de CAC/CPL nas primeiras 6–8 semanas.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F3552"/>
          <w:sz w:val="22"/>
          <w:szCs w:val="22"/>
        </w:rPr>
        <w:t xml:space="preserve">Desconfiança do público (segurança/dados) — </w:t>
      </w:r>
      <w:r>
        <w:rPr>
          <w:sz w:val="22"/>
          <w:szCs w:val="22"/>
        </w:rPr>
        <w:t xml:space="preserve">Selo de verificação, exibição do CRP e conteúdo institucional sobre o processo de aprovação de profissionais, reforçados de forma recorrente.</w:t>
      </w:r>
    </w:p>
    <w:p>
      <w:pPr>
        <w:pStyle w:val="Heading1"/>
        <w:pBdr>
          <w:bottom w:val="single" w:color="2C7A7B" w:sz="6" w:space="4"/>
        </w:pBdr>
        <w:spacing w:after="160" w:before="360"/>
      </w:pPr>
      <w:r>
        <w:rPr>
          <w:b/>
          <w:bCs/>
          <w:color w:val="1F3552"/>
          <w:sz w:val="30"/>
          <w:szCs w:val="30"/>
        </w:rPr>
        <w:t xml:space="preserve">14. Próximos passos imediatos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Definir a praça piloto e a meta mínima de profissionais verificados para abrir o funil de pacientes nessa praça.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Montar checklist de compliance CFP e briefing padrão para criadores parceiros.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Selecionar 5–10 profissionais fundadores para o programa de embaixadores.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Produzir os primeiros 10 vídeos-piloto (5 institucionais/oferta, 5 educativos/demanda) e medir desempenho orgânico antes de qualquer investimento pago.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Definir metas numéricas de CAC e LTV com o time financeiro para ativar a regra de decisão da Seção 10.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MenteSa — Plano de Marketing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2026-07-08T17:28:39.626Z</dcterms:created>
  <dcterms:modified xsi:type="dcterms:W3CDTF">2026-07-08T17:28:39.627Z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