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8CBB9" w14:textId="0FACA4E2" w:rsidR="00EA2D6C" w:rsidRDefault="00EA2D6C" w:rsidP="00EA2D6C">
      <w:pPr>
        <w:rPr>
          <w:b/>
          <w:bCs/>
          <w:sz w:val="32"/>
          <w:szCs w:val="32"/>
          <w:u w:val="single"/>
          <w:lang w:val="en-US"/>
        </w:rPr>
      </w:pPr>
      <w:r>
        <w:rPr>
          <w:b/>
          <w:bCs/>
          <w:sz w:val="32"/>
          <w:szCs w:val="32"/>
          <w:u w:val="single"/>
          <w:lang w:val="en-US"/>
        </w:rPr>
        <w:t>FINTRUST TRANSACTION ANALYSIS REPORT</w:t>
      </w:r>
    </w:p>
    <w:p w14:paraId="7A18FA2D" w14:textId="77777777" w:rsidR="008909EF" w:rsidRPr="008909EF" w:rsidRDefault="008909EF" w:rsidP="00D73726">
      <w:pPr>
        <w:rPr>
          <w:b/>
          <w:bCs/>
        </w:rPr>
      </w:pPr>
      <w:r w:rsidRPr="008909EF">
        <w:rPr>
          <w:b/>
          <w:bCs/>
        </w:rPr>
        <w:t>EXECUTIVE SUMMARY</w:t>
      </w:r>
    </w:p>
    <w:p w14:paraId="71351FFE" w14:textId="4AE4508A" w:rsidR="00221072" w:rsidRDefault="008909EF" w:rsidP="00D73726">
      <w:r>
        <w:t xml:space="preserve"> The </w:t>
      </w:r>
      <w:proofErr w:type="spellStart"/>
      <w:r>
        <w:t>FinTrust</w:t>
      </w:r>
      <w:proofErr w:type="spellEnd"/>
      <w:r>
        <w:t xml:space="preserve"> Power BI dashboard provides a management-level view of transaction value and volume, customer segments, digital channels, transaction trends by tenure, income-band composition, and risk-flag rates by account type. </w:t>
      </w:r>
      <w:proofErr w:type="gramStart"/>
      <w:r>
        <w:t>The a</w:t>
      </w:r>
      <w:proofErr w:type="gramEnd"/>
      <w:r>
        <w:rPr>
          <w:lang w:val="en-US"/>
        </w:rPr>
        <w:t xml:space="preserve"> </w:t>
      </w:r>
      <w:r>
        <w:t>SQL script adds investigative depth: risk-flag summaries by channel and transaction type, customer-level flagged activity, repeated transactions at the same timestamp, cross-location/device activity, transaction status, and customer demographic or engagement breakdowns. Together, the dashboard and SQL form a two-level analytical approach. Power BI supports ongoing monitoring and visual exploration; SQL supports focused validation and drill-down into transaction and customer records.</w:t>
      </w:r>
    </w:p>
    <w:p w14:paraId="05250018" w14:textId="61A7C921" w:rsidR="00B41618" w:rsidRPr="00B41618" w:rsidRDefault="00B41618" w:rsidP="00D73726">
      <w:pPr>
        <w:rPr>
          <w:b/>
          <w:bCs/>
        </w:rPr>
      </w:pPr>
      <w:r w:rsidRPr="00B41618">
        <w:rPr>
          <w:b/>
          <w:bCs/>
          <w:lang w:val="en-US"/>
        </w:rPr>
        <w:t>1.</w:t>
      </w:r>
      <w:r w:rsidRPr="00B41618">
        <w:rPr>
          <w:b/>
          <w:bCs/>
        </w:rPr>
        <w:t xml:space="preserve"> TRANSACTION PERFORMANCE </w:t>
      </w:r>
    </w:p>
    <w:p w14:paraId="1831E354" w14:textId="427308A2" w:rsidR="00B41618" w:rsidRDefault="00B41618" w:rsidP="00D73726">
      <w:r>
        <w:t xml:space="preserve">The dashboard headline cards show Total Amount, Total Transactions and Avg Amount. These align with the SQL summary, which calculates a count of </w:t>
      </w:r>
      <w:proofErr w:type="spellStart"/>
      <w:r>
        <w:t>Transaction_ID</w:t>
      </w:r>
      <w:proofErr w:type="spellEnd"/>
      <w:r>
        <w:t xml:space="preserve">, the sum of </w:t>
      </w:r>
      <w:proofErr w:type="spellStart"/>
      <w:r>
        <w:t>Amount_NGN</w:t>
      </w:r>
      <w:proofErr w:type="spellEnd"/>
      <w:r>
        <w:t xml:space="preserve"> and the average </w:t>
      </w:r>
      <w:proofErr w:type="spellStart"/>
      <w:r>
        <w:t>Amount_NGN</w:t>
      </w:r>
      <w:proofErr w:type="spellEnd"/>
      <w:r>
        <w:t xml:space="preserve">. Use the measures together: aggregate amount describes total transaction value in the selected filter context; transaction count indicates activity volume; average amount describes average transaction size. </w:t>
      </w:r>
    </w:p>
    <w:p w14:paraId="52FECF4B" w14:textId="068BF642" w:rsidR="00B41618" w:rsidRPr="00B41618" w:rsidRDefault="00B41618" w:rsidP="00D73726">
      <w:pPr>
        <w:rPr>
          <w:b/>
          <w:bCs/>
        </w:rPr>
      </w:pPr>
      <w:r w:rsidRPr="00B41618">
        <w:rPr>
          <w:b/>
          <w:bCs/>
        </w:rPr>
        <w:t xml:space="preserve"> </w:t>
      </w:r>
      <w:r w:rsidRPr="00B41618">
        <w:rPr>
          <w:b/>
          <w:bCs/>
          <w:lang w:val="en-US"/>
        </w:rPr>
        <w:t>2.</w:t>
      </w:r>
      <w:r w:rsidRPr="00B41618">
        <w:rPr>
          <w:b/>
          <w:bCs/>
        </w:rPr>
        <w:t xml:space="preserve"> RISK RATE BY TRANSACTION TYPE </w:t>
      </w:r>
    </w:p>
    <w:p w14:paraId="33F291AE" w14:textId="6AEEEEEF" w:rsidR="00B41618" w:rsidRDefault="00B41618" w:rsidP="00D73726">
      <w:pPr>
        <w:rPr>
          <w:lang w:val="en-US"/>
        </w:rPr>
      </w:pPr>
      <w:r>
        <w:t xml:space="preserve">The SQL supports this analysis by grouping records with </w:t>
      </w:r>
      <w:proofErr w:type="spellStart"/>
      <w:r>
        <w:t>Risk_Review_Flag</w:t>
      </w:r>
      <w:proofErr w:type="spellEnd"/>
      <w:r>
        <w:t xml:space="preserve"> = 'Yes' by </w:t>
      </w:r>
      <w:proofErr w:type="spellStart"/>
      <w:r>
        <w:t>Transaction_Type</w:t>
      </w:r>
      <w:proofErr w:type="spellEnd"/>
      <w:r>
        <w:t xml:space="preserve"> and calculating alert count, total flagged value and average flagged value. The SQL can therefore provide the underlying count and value context for the dashboard's transaction-type risk comparison.</w:t>
      </w:r>
      <w:r w:rsidR="002F74D3">
        <w:rPr>
          <w:lang w:val="en-US"/>
        </w:rPr>
        <w:t xml:space="preserve"> </w:t>
      </w:r>
      <w:proofErr w:type="gramStart"/>
      <w:r>
        <w:rPr>
          <w:lang w:val="en-US"/>
        </w:rPr>
        <w:t>This</w:t>
      </w:r>
      <w:proofErr w:type="gramEnd"/>
      <w:r>
        <w:rPr>
          <w:lang w:val="en-US"/>
        </w:rPr>
        <w:t xml:space="preserve"> KPI helps to know what amount is at risk by showing the rate of amount that is being flagged for risk at each transaction type.</w:t>
      </w:r>
    </w:p>
    <w:p w14:paraId="545E714D" w14:textId="77777777" w:rsidR="00B41618" w:rsidRPr="00B41618" w:rsidRDefault="00B41618" w:rsidP="00D73726">
      <w:pPr>
        <w:rPr>
          <w:b/>
          <w:bCs/>
        </w:rPr>
      </w:pPr>
      <w:r w:rsidRPr="00B41618">
        <w:rPr>
          <w:b/>
          <w:bCs/>
          <w:lang w:val="en-US"/>
        </w:rPr>
        <w:t>3.</w:t>
      </w:r>
      <w:r w:rsidRPr="00B41618">
        <w:rPr>
          <w:b/>
          <w:bCs/>
        </w:rPr>
        <w:t xml:space="preserve">CUSTOMER SEGMENT AND CHANNEL </w:t>
      </w:r>
    </w:p>
    <w:p w14:paraId="0D43CCF7" w14:textId="462D892A" w:rsidR="00B41618" w:rsidRDefault="00B41618" w:rsidP="00D73726">
      <w:r>
        <w:t>The dashboard's customer-segment-and-channel visual summarizes transaction activity across these dimensions. SQL extends this view by reporting flagged transaction counts and amounts by channel and customer segment, and by crossing channel with transaction type and risk-review status. Compare risk-flagged activity with all activity in each group. Absolute alert counts may be higher in groups that simply process more transactions. Rates, denominators and customer counts are needed to compare risk intensity fairly.</w:t>
      </w:r>
    </w:p>
    <w:p w14:paraId="4A393269" w14:textId="08670349" w:rsidR="00B41618" w:rsidRPr="00B41618" w:rsidRDefault="00B41618" w:rsidP="00D73726">
      <w:pPr>
        <w:rPr>
          <w:b/>
          <w:bCs/>
        </w:rPr>
      </w:pPr>
      <w:r>
        <w:rPr>
          <w:b/>
          <w:bCs/>
          <w:lang w:val="en-US"/>
        </w:rPr>
        <w:t>4.</w:t>
      </w:r>
      <w:r w:rsidRPr="00B41618">
        <w:rPr>
          <w:b/>
          <w:bCs/>
        </w:rPr>
        <w:t xml:space="preserve"> TRANSACTION TRENDS AND TENURE</w:t>
      </w:r>
    </w:p>
    <w:p w14:paraId="2E33D9F4" w14:textId="7D9F2C61" w:rsidR="00B41618" w:rsidRDefault="00B41618" w:rsidP="00D73726">
      <w:pPr>
        <w:rPr>
          <w:lang w:val="en-US"/>
        </w:rPr>
      </w:pPr>
      <w:r>
        <w:t xml:space="preserve"> The line chart titled “TOTAL AMOUNT AGAINST TIME (2026)” supports monthly transaction-amount review, segmented by tenure group as identified in the dashboard layout. SQL provides </w:t>
      </w:r>
      <w:proofErr w:type="spellStart"/>
      <w:r>
        <w:t>tenure_months</w:t>
      </w:r>
      <w:proofErr w:type="spellEnd"/>
      <w:r>
        <w:t xml:space="preserve"> through the joined </w:t>
      </w:r>
      <w:proofErr w:type="spellStart"/>
      <w:r>
        <w:t>Fintrust_data</w:t>
      </w:r>
      <w:proofErr w:type="spellEnd"/>
      <w:r>
        <w:t xml:space="preserve"> view. </w:t>
      </w:r>
      <w:r>
        <w:rPr>
          <w:lang w:val="en-US"/>
        </w:rPr>
        <w:t xml:space="preserve">It shows which customers that have more contracts are like compared to those that are joining the bank and how they cause reactions to the transaction. In February it is seen that it recorded fewer transactions amount </w:t>
      </w:r>
      <w:r w:rsidR="002F74D3">
        <w:rPr>
          <w:lang w:val="en-US"/>
        </w:rPr>
        <w:t xml:space="preserve">compared to January and </w:t>
      </w:r>
      <w:proofErr w:type="gramStart"/>
      <w:r w:rsidR="002F74D3">
        <w:rPr>
          <w:lang w:val="en-US"/>
        </w:rPr>
        <w:t>march .</w:t>
      </w:r>
      <w:proofErr w:type="gramEnd"/>
    </w:p>
    <w:p w14:paraId="5E766F69" w14:textId="16BA9019" w:rsidR="002F74D3" w:rsidRPr="002F74D3" w:rsidRDefault="002F74D3" w:rsidP="00D73726">
      <w:pPr>
        <w:rPr>
          <w:b/>
          <w:bCs/>
          <w:lang w:val="en-US"/>
        </w:rPr>
      </w:pPr>
      <w:r w:rsidRPr="002F74D3">
        <w:rPr>
          <w:b/>
          <w:bCs/>
          <w:lang w:val="en-US"/>
        </w:rPr>
        <w:t>5.</w:t>
      </w:r>
      <w:r w:rsidRPr="002F74D3">
        <w:rPr>
          <w:b/>
          <w:bCs/>
        </w:rPr>
        <w:t>INCOME, ENGAGEMENT AND CUSTOMER PROFILE</w:t>
      </w:r>
    </w:p>
    <w:p w14:paraId="20DC039D" w14:textId="0E36CDE0" w:rsidR="002F74D3" w:rsidRDefault="002F74D3" w:rsidP="00D73726">
      <w:r>
        <w:t xml:space="preserve">The SQL engagement query compares risk-review status across low, medium and high engagement bands, with transaction counts and average amounts. Other queries compare risk flags by age group, customer segment, and gender/transaction type. Income-band amount share is not the same as profitability, income earned, customer balance or risk. Demographic and engagement breakdowns </w:t>
      </w:r>
      <w:r>
        <w:lastRenderedPageBreak/>
        <w:t>are descriptive and should be interpreted with group sizes, definitions, data completeness and appropriate governance.</w:t>
      </w:r>
    </w:p>
    <w:p w14:paraId="6784C617" w14:textId="21D048D6" w:rsidR="002F74D3" w:rsidRPr="002F74D3" w:rsidRDefault="002F74D3" w:rsidP="00D73726">
      <w:pPr>
        <w:rPr>
          <w:b/>
          <w:bCs/>
          <w:lang w:val="en-US"/>
        </w:rPr>
      </w:pPr>
      <w:r w:rsidRPr="002F74D3">
        <w:rPr>
          <w:b/>
          <w:bCs/>
          <w:lang w:val="en-US"/>
        </w:rPr>
        <w:t>6.LOCATION AND TIME</w:t>
      </w:r>
    </w:p>
    <w:p w14:paraId="671F0F02" w14:textId="6B5138A3" w:rsidR="002F74D3" w:rsidRDefault="002F74D3" w:rsidP="00D73726">
      <w:pPr>
        <w:rPr>
          <w:lang w:val="en-US"/>
        </w:rPr>
      </w:pPr>
      <w:r>
        <w:t xml:space="preserve">The SQL identifies customers with the most risk-flagged transactions and sums their flagged amounts. The exact-timestamp query identifies customers with more than one transaction at the same recorded time. The multi-location query flags customer-days with more than one distinct location and reports distinct devices and transaction count. </w:t>
      </w:r>
      <w:r>
        <w:rPr>
          <w:lang w:val="en-US"/>
        </w:rPr>
        <w:t xml:space="preserve">Example is Customer with ID FT_C001421 does two </w:t>
      </w:r>
      <w:proofErr w:type="gramStart"/>
      <w:r>
        <w:rPr>
          <w:lang w:val="en-US"/>
        </w:rPr>
        <w:t>transaction</w:t>
      </w:r>
      <w:proofErr w:type="gramEnd"/>
      <w:r>
        <w:rPr>
          <w:lang w:val="en-US"/>
        </w:rPr>
        <w:t xml:space="preserve"> at the same time but in two different location but he /she is not flagged.</w:t>
      </w:r>
    </w:p>
    <w:p w14:paraId="25F6C21F" w14:textId="0681F150" w:rsidR="002F74D3" w:rsidRDefault="002F74D3" w:rsidP="00D73726">
      <w:pPr>
        <w:rPr>
          <w:lang w:val="en-US"/>
        </w:rPr>
      </w:pPr>
    </w:p>
    <w:p w14:paraId="42133991" w14:textId="5210407B" w:rsidR="002F74D3" w:rsidRDefault="002F74D3" w:rsidP="00D73726">
      <w:pPr>
        <w:rPr>
          <w:lang w:val="en-US"/>
        </w:rPr>
      </w:pPr>
      <w:r>
        <w:rPr>
          <w:lang w:val="en-US"/>
        </w:rPr>
        <w:t>CONCLUSION</w:t>
      </w:r>
    </w:p>
    <w:p w14:paraId="54868B72" w14:textId="4C69C35B" w:rsidR="002F74D3" w:rsidRPr="002F74D3" w:rsidRDefault="002F74D3" w:rsidP="00D73726">
      <w:pPr>
        <w:rPr>
          <w:lang w:val="en-US"/>
        </w:rPr>
      </w:pPr>
      <w:r>
        <w:rPr>
          <w:lang w:val="en-US"/>
        </w:rPr>
        <w:t xml:space="preserve">The SQL queries identifies the pattern vividly while the Power Bi visualizes on what areas is causing the risks  alerts </w:t>
      </w:r>
      <w:r w:rsidR="00131303">
        <w:rPr>
          <w:lang w:val="en-US"/>
        </w:rPr>
        <w:t>and the relation between the customers and the transactions.</w:t>
      </w:r>
    </w:p>
    <w:sectPr w:rsidR="002F74D3" w:rsidRPr="002F7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C96"/>
    <w:multiLevelType w:val="hybridMultilevel"/>
    <w:tmpl w:val="55DC35B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3B6082C"/>
    <w:multiLevelType w:val="hybridMultilevel"/>
    <w:tmpl w:val="56BE51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1CC6097"/>
    <w:multiLevelType w:val="hybridMultilevel"/>
    <w:tmpl w:val="86828D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6DD52B6"/>
    <w:multiLevelType w:val="hybridMultilevel"/>
    <w:tmpl w:val="B9A45CF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253320124">
    <w:abstractNumId w:val="2"/>
  </w:num>
  <w:num w:numId="2" w16cid:durableId="1009790081">
    <w:abstractNumId w:val="1"/>
  </w:num>
  <w:num w:numId="3" w16cid:durableId="803618232">
    <w:abstractNumId w:val="0"/>
  </w:num>
  <w:num w:numId="4" w16cid:durableId="2019117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6C"/>
    <w:rsid w:val="00131303"/>
    <w:rsid w:val="00221072"/>
    <w:rsid w:val="002F74D3"/>
    <w:rsid w:val="003E5FD6"/>
    <w:rsid w:val="007C11B8"/>
    <w:rsid w:val="007C1371"/>
    <w:rsid w:val="008909EF"/>
    <w:rsid w:val="00B41618"/>
    <w:rsid w:val="00D73726"/>
    <w:rsid w:val="00EA2D6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7C74"/>
  <w15:chartTrackingRefBased/>
  <w15:docId w15:val="{9D320F46-59CD-44DA-988B-BDE4B989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D6C"/>
    <w:pPr>
      <w:ind w:left="720"/>
      <w:contextualSpacing/>
    </w:pPr>
  </w:style>
  <w:style w:type="character" w:styleId="Strong">
    <w:name w:val="Strong"/>
    <w:basedOn w:val="DefaultParagraphFont"/>
    <w:uiPriority w:val="22"/>
    <w:qFormat/>
    <w:rsid w:val="00EA2D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2083</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taqueensayaya7@gmail.com</dc:creator>
  <cp:keywords/>
  <dc:description/>
  <cp:lastModifiedBy>taqueensayaya7@gmail.com</cp:lastModifiedBy>
  <cp:revision>1</cp:revision>
  <dcterms:created xsi:type="dcterms:W3CDTF">2026-09-27T22:13:00Z</dcterms:created>
  <dcterms:modified xsi:type="dcterms:W3CDTF">2026-09-29T08:56:00Z</dcterms:modified>
</cp:coreProperties>
</file>