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민법 제103조는 선량한 풍속 기타 사회질서에 반하는 법률행위를 무효로 한다.</w:t>
      </w:r>
    </w:p>
    <w:p>
      <w:r>
        <w:t>민법 제2000조는 AI 계약의 전자서명을 일률적으로 무효로 한다.</w:t>
      </w:r>
    </w:p>
    <w:p>
      <w:r>
        <w:t>GDPR Article 17 recognizes a data subject's right to erasure.</w:t>
      </w:r>
    </w:p>
    <w:p>
      <w:r>
        <w:t>업계 관계자에 따르면 AI 규제는 곧 완화될 전망이다.</w:t>
      </w:r>
    </w:p>
    <w:tbl>
      <w:tr>
        <w:tc>
          <w:p>
            <w:r>
              <w:t>개인정보 보호법 제15조는 개인정보 처리의 법적 근거 중 정보주체 동의를 규정한다.</w:t>
            </w:r>
          </w:p>
        </w:tc>
        <w:tc>
          <w:p>
            <w:r>
              <w:t>개인정보 보호법 제88조는 청소년 유해매체물 등급분류 기준을 정한다.</w:t>
            </w:r>
          </w:p>
        </w:tc>
      </w:tr>
      <w:tr>
        <w:tc>
          <w:p>
            <w:r>
              <w:t>2023년 국내 게임산업 매출은 전년 대비 15% 증가했다.</w:t>
            </w:r>
          </w:p>
        </w:tc>
        <w:tc>
          <w:p>
            <w:r>
              <w:t>The EU AI Act was adopted in 2024.</w:t>
            </w:r>
          </w:p>
        </w:tc>
      </w:tr>
    </w:tbl>
    <w:sectPr>
      <w:pgSz w:w="12240" w:h="15840"/>
      <w:pgMar w:top="1440" w:right="1440" w:bottom="1440" w:left="1440"/>
    </w:sectPr>
  </w:body>
</w:document>
</file>