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C00000"/>
          <w:sz w:val="22"/>
        </w:rPr>
        <w:t>비공개 / 클라이언트 내부검토용</w:t>
      </w:r>
    </w:p>
    <w:p/>
    <w:p>
      <w:pPr>
        <w:jc w:val="center"/>
      </w:pPr>
      <w:r>
        <w:rPr>
          <w:rFonts w:ascii="Malgun Gothic" w:hAnsi="Malgun Gothic" w:eastAsia="Malgun Gothic"/>
          <w:b/>
          <w:color w:val="19376D"/>
          <w:sz w:val="48"/>
        </w:rPr>
        <w:t>로트박스(Loot Box) 규제 8개국 비교 의견서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44546A"/>
          <w:sz w:val="24"/>
        </w:rPr>
        <w:t>벨기에 · 중국 · 세르비아 · 슬로바키아 · 네덜란드 · 대한민국 · 대만 · 일본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의뢰인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21"/>
              </w:rPr>
              <w:t>한국 게임사 클라이언트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기준일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21"/>
              </w:rPr>
              <w:t>2026년 3월 5일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작성일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21"/>
              </w:rPr>
              <w:t>2026년 3월 5일</w:t>
            </w:r>
          </w:p>
        </w:tc>
      </w:tr>
    </w:tbl>
    <w:p/>
    <w:p>
      <w:pPr>
        <w:ind w:left="113" w:right="113"/>
        <w:jc w:val="both"/>
      </w:pPr>
      <w:r>
        <w:rPr>
          <w:rFonts w:ascii="Malgun Gothic" w:hAnsi="Malgun Gothic" w:eastAsia="Malgun Gothic"/>
          <w:color w:val="595959"/>
          <w:sz w:val="19"/>
        </w:rPr>
        <w:t>면책: 본 문서는 공개된 법령·행정자료 기반의 리서치 의견서이며, 특정 사건에 대한 확정적 법률의견(법률자문)으로 대체되지 않습니다. 국가별 집행관행과 최신 개정은 수시로 변동될 수 있으므로 실제 출시 전 현지 변호사 검토가 필요합니다.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32"/>
        </w:rPr>
        <w:t>1. 집행요약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sz w:val="21"/>
        </w:rPr>
        <w:t>질문: 벨기에, 중국, 세르비아, 슬로바키아, 네덜란드, 대한민국, 대만, 일본에서 로트박스 판매가 금지되는지 여부.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sz w:val="21"/>
        </w:rPr>
        <w:t>핵심 결론(기준일: 2026-03-05): 8개국 중 전면적/실질적 금지에 가장 가까운 국가는 벨기에이며, 일본은 컴프가챠(complete gacha) 유형에 한정된 부분 금지, 나머지 국가는 주로 확률공개·소비자보호·도박법 일반요건에 따른 조건부 규제 체계입니다.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벨기에: 유료 로트박스는 도박법상 게임요건 충족 시 사실상 판매 금지(고위험).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일본: 일반 유료 가챠는 전면 금지 아님. 다만 컴프가챠는 위법 리스크가 매우 높음.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중국·대한민국·대만: 금지보다는 확률공개 및 운영투명성 의무 중심.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네덜란드·세르비아·슬로바키아: 전면 금지 아님. 경제적 가치/현금화 가능성/독립 도박성 여부를 중심으로 사안별 판단.</w:t>
      </w:r>
    </w:p>
    <w:p>
      <w:pPr>
        <w:pStyle w:val="Heading1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32"/>
        </w:rPr>
        <w:t>2. 국가별 결론 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국가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결론(금지 여부)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실무 리스크 등급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출시 권고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벨기에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사실상 금지(유료 로트박스)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매우 높음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벨기에 빌드에서 유료 랜덤 판매 비활성화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중국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전면 금지 아님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중간~높음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확률·결과 공개, 로그보관, 미성년자 규제 준수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세르비아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전면 금지 아님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중간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추가 결제 없는 랜덤보상 중심 설계, 현금화 차단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슬로바키아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전면 금지 아님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중간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스테이크/환금성 구조 회피, 사전 법률검토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네덜란드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전면 금지 아님(사안별)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중간~높음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거래가능 아이템·독립 도박성 구조 회피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대한민국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전면 금지 아님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중간~높음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확률형 아이템 표시·검증 체계 상시 운영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대만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전면 금지 아님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중간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확률값 및 변경 7일 전 고지 체계 구축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일본</w:t>
            </w:r>
          </w:p>
        </w:tc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부분 금지(컴프가챠)</w:t>
            </w:r>
          </w:p>
        </w:tc>
        <w:tc>
          <w:tcPr>
            <w:tcW w:type="dxa" w:w="147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Malgun Gothic" w:hAnsi="Malgun Gothic" w:eastAsia="Malgun Gothic"/>
                <w:sz w:val="20"/>
              </w:rPr>
              <w:t>높음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컴프가챠 구조 금지, 일반 가챠는 공시·자율규제 준수</w:t>
            </w:r>
          </w:p>
        </w:tc>
      </w:tr>
    </w:tbl>
    <w:p>
      <w:pPr>
        <w:pStyle w:val="Heading1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32"/>
        </w:rPr>
        <w:t>3. 국가별 상세 분석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3.1 벨기에(Belgium)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유료 로트박스는 사실상 금지(매우 높은 집행 리스크).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벨기에 게임위원회(Belgian Gaming Commission) 보고서는 EA/Blizzard/Valve 등 주요 게임의 유료 로트박스가 도박법상 게임요건을 충족한다고 보았습니다.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해당 보고서는 '유료 로트박스를 게임 내에서 금지(prohibited)'하고, 라이선스 없이 운영되는 경우 중단 필요성을 명시합니다.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벨기에 도박법은 대가(consideration), 우연성(chance), 이익/손실(outcome)을 포함하는 구조를 폭넓게 포섭하므로, 유료 랜덤형 BM은 보수적으로 차단하는 것이 안전합니다.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벨기에 서비스에서는 유료 랜덤뽑기 판매를 원칙적으로 비활성화.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대체 BM(직접구매, 시즌패스, 정액형 보상)을 우선 설계.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[P1], [P2]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3.2 중국(China)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전면 금지 아님(강한 운영규제).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중국 문화부 고시는 온라인게임의 랜덤추첨 제공 시 아이템명·속성·추첨확률을 사전 또는 눈에 띄는 방식으로 공시하고, 결과 공표 및 기록 보관을 요구합니다.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즉, 로트박스 자체를 일률 금지하기보다는 확률정보 투명성·사후검증 가능성을 강하게 요구하는 구조입니다.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별도로 국가신문출판서는 미성년자 게임시간 제한 등 강한 청소년 보호규제를 집행하고 있어 운영정책(로그인, 시간제한, 결제통제)과 함께 설계해야 합니다.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중국어 UI에서 확률정보 고정 노출 + 변경이력 관리.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랜덤결과 로그 보존체계 및 규제기관 제출 가능 포맷 확보.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[P3], [P4]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3.3 세르비아(Serbia)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전면 금지 아님(사안별 도박성 판단).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세르비아 게임법은 대가성(stake), 우연성, 당첨(winnings)을 중심으로 도박을 정의합니다.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세르비아 조세당국 FAQ는 '게임 판매가격에 포함되어 추가요금 없이 제공되는 미스터리 박스'는 원칙적으로 경품성 게임으로 보기 어렵다는 취지의 해석을 제시합니다.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다만 별도 결제, 환금성, 교환시장 연계가 결합되면 도박법 재분류 리스크가 올라갑니다.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세르비아 대상 빌드에서 유료 재화로의 직접 랜덤추첨 구매를 최소화.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아이템 현금화/2차 거래 연계를 차단.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[P5], [P6]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3.4 슬로바키아(Slovakia)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전면 금지 아님(일반 도박법 요건 충족 시 위험).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슬로바키아 도박법(Act No. 30/2019)은 플레이어의 베팅, 우연성, 승리/당첨 요소를 결합한 구조를 도박으로 봅니다.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현행 법체계에서 로트박스를 명시적으로 전면 금지하는 특별조항은 확인되지 않았습니다.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따라서 환금성 있는 가상재화, 제3자 거래시장, 별도 베팅구조 여부에 따라 규제당국 해석이 달라질 수 있습니다.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슬로바키아 출시 시 환금성 약관 금지조항 및 기술적 차단 병행.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중요 업데이트(거래기능 추가 등) 전 현지 자문 재검토.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[P7]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3.5 네덜란드(Netherlands)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전면 금지 아님(케이스별 고위험).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네덜란드 도박법은 원칙적으로 라이선스 없는 우연성 게임 제공을 금지합니다.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다만 최고행정법원(2022)은 EA FIFA 팩 관련 제재 사건에서 해당 팩을 독립적 게임으로 보기 어렵다는 취지로 감독당국 제재를 취소했습니다.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네덜란드 감독당국(KSA)은 현재도 로트박스가 도박정의에 해당하는지 개별 판단 대상임을 명시하고 있어, 구조 설계가 핵심입니다.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거래가능(transferable) 아이템·현금화 경로 제거.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패키지 개봉을 독립 게임처럼 보이게 하는 UX/BM(별도 베팅형)을 회피.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[P8], [P9], [P10]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3.6 대한민국(South Korea)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전면 금지 아님(확률공시 중심의 강한 규제).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게임산업진흥에 관한 법률은 확률형 아이템의 종류·효과·획득확률 표시의무(제33조의2)를 도입·강화했습니다.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문화체육관광부는 2024년 3월 22일 시행을 공식 발표했고, 확률정보 미표시·허위표시에 대한 제재 프레임이 작동 중입니다.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즉, 한국은 로트박스 금지국이 아니라 '정확한 확률공시 + 사후 입증가능성'을 강제하는 관할입니다.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확률표시 데이터와 실제 서버확률 간 상시 대사(automated reconciliation).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이벤트/픽업 변경 시 표시값 동기화 배포체계 의무화.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[P11], [P12]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3.7 대만(Taiwan)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전면 금지 아님(계약규정상 확률공개 의무).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대만 '온라인게임 서비스 표준계약 필수·금지 기재사항' 제6점은 확률형 상품에 대해 모든 확률값을 공시하고, 확률 변경 시 7일 전 공지를 요구합니다.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이는 판매 자체 금지보다 정보비대칭 해소(소비자보호) 중심의 규제 방식입니다.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실무상 약관·게임 내 공지·고객센터 문구를 일치시켜 계약분쟁 리스크를 낮추는 것이 중요합니다.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대만 번체 UI 확률표시 + 변경 7일 전 고지 워크플로우 구축.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고객문의 대응 스크립트(확률 산정 기준, 변경 이력) 표준화.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[P13]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3.8 일본(Japan)</w:t>
      </w:r>
    </w:p>
    <w:p>
      <w:pPr>
        <w:spacing w:lineRule="auto" w:line="312" w:after="80"/>
        <w:jc w:val="both"/>
      </w:pPr>
      <w:r>
        <w:rPr>
          <w:rFonts w:ascii="Malgun Gothic" w:hAnsi="Malgun Gothic" w:eastAsia="Malgun Gothic"/>
          <w:b/>
          <w:sz w:val="21"/>
        </w:rPr>
        <w:t>결론: 전면 금지 아님, 단 컴프가챠는 사실상 금지(부분 금지).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일본 소비자청 자료는 '유료 가챠 자체'는 즉시 위법으로 보지 않으면서도, 특정 완성형 컴프가챠 구조는 경품표시법상 문제될 수 있음을 명시합니다.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업계단체(CESA)는 확률표시 등 자율규제 기준을 지속 공표하고 있으며, 대형 사업자는 통상 이를 준수합니다.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따라서 일본은 BM 구조별로 허용/위험이 갈리는 관할로, 컴프가챠형 완성보상 설계는 금지하는 것이 안전합니다.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/>
          <w:sz w:val="21"/>
        </w:rPr>
        <w:t>실무 권고: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세트완성 강제형 가챠(컴프가챠) 설계 금지.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일본어 확률공시 기준을 국내·글로벌 빌드와 분리 관리.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44546A"/>
          <w:sz w:val="19"/>
        </w:rPr>
        <w:t>주요 근거: [P14], [P15]</w:t>
      </w:r>
    </w:p>
    <w:p>
      <w:pPr>
        <w:pStyle w:val="Heading1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32"/>
        </w:rPr>
        <w:t>4. 한국 게임사 실행 프레임워크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sz w:val="21"/>
        </w:rPr>
        <w:t>아래 체크리스트는 8개국 동시 서비스 기준의 보수적(규제친화적) 최소선입니다. 벨기에·일본은 별도 게이팅(기능 차단)이 필요합니다.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4.1 글로벌 공통 최소요건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확률형 아이템 테이블(아이템별/등급별/기간별) 버전관리 및 배포 로그 보존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확률표시값과 서버 실제값 일치 검증(정기 샘플링 + 자동 대사)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중복 아이템 보상정책(대체재/파편/천장 시스템) 문서화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약관·인게임 공지·CS 응답문구 간 표현 불일치 금지</w:t>
      </w:r>
    </w:p>
    <w:p>
      <w:pPr>
        <w:pStyle w:val="ListBullet"/>
        <w:spacing w:lineRule="auto" w:line="288" w:after="60"/>
        <w:jc w:val="both"/>
      </w:pPr>
      <w:r>
        <w:rPr>
          <w:rFonts w:ascii="Malgun Gothic" w:hAnsi="Malgun Gothic" w:eastAsia="Malgun Gothic"/>
          <w:sz w:val="21"/>
        </w:rPr>
        <w:t>거래가능/환금가능 아이템의 지역별 차단 정책(특히 벨기에·네덜란드)</w:t>
      </w:r>
    </w:p>
    <w:p>
      <w:pPr>
        <w:pStyle w:val="Heading2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26"/>
        </w:rPr>
        <w:t>4.2 국가별 게이팅 규칙(권장)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국가군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핵심 게이팅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8EE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9376D"/>
                <w:sz w:val="21"/>
              </w:rPr>
              <w:t>운영팀 액션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벨기에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유료 랜덤 판매 OFF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직접구매형 상품군으로 대체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일본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컴프가챠형 보상 OFF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일본 전용 BM 검수 체크리스트 적용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네덜란드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거래/환금 경로 최소화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경제시스템 변경 시 법무 사전검토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중국·한국·대만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확률공시·변경고지 강화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표시값-실값 증빙체계 상시화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세르비아·슬로바키아</w:t>
            </w:r>
          </w:p>
        </w:tc>
        <w:tc>
          <w:tcPr>
            <w:tcW w:type="dxa" w:w="26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별도 베팅성 구조 회피</w:t>
            </w:r>
          </w:p>
        </w:tc>
        <w:tc>
          <w:tcPr>
            <w:tcW w:type="dxa" w:w="402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Rule="auto" w:line="276"/>
              <w:jc w:val="left"/>
            </w:pPr>
            <w:r>
              <w:rPr>
                <w:rFonts w:ascii="Malgun Gothic" w:hAnsi="Malgun Gothic" w:eastAsia="Malgun Gothic"/>
                <w:sz w:val="20"/>
              </w:rPr>
              <w:t>현지 자문 트리거(업데이트 시)</w:t>
            </w:r>
          </w:p>
        </w:tc>
      </w:tr>
    </w:tbl>
    <w:p>
      <w:pPr>
        <w:pStyle w:val="Heading1"/>
        <w:keepNext/>
        <w:spacing w:before="160" w:after="120"/>
      </w:pPr>
      <w:r>
        <w:rPr>
          <w:rFonts w:ascii="Malgun Gothic" w:hAnsi="Malgun Gothic" w:eastAsia="Malgun Gothic"/>
          <w:b/>
          <w:color w:val="19376D"/>
          <w:sz w:val="32"/>
        </w:rPr>
        <w:t>5. 출처 목록(Primary 중심)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[P1] </w:t>
      </w:r>
      <w:r>
        <w:rPr>
          <w:rFonts w:ascii="Malgun Gothic" w:hAnsi="Malgun Gothic" w:eastAsia="Malgun Gothic"/>
          <w:sz w:val="19"/>
        </w:rPr>
        <w:t>Belgian Gaming Commission, Research Report on Loot Boxes (official PDF): https://www.gamingcommission.be/sites/default/files/2021-08/onderzoeksrapport-loot-boxen-Engels-publicatie.pdf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[P2] </w:t>
      </w:r>
      <w:r>
        <w:rPr>
          <w:rFonts w:ascii="Malgun Gothic" w:hAnsi="Malgun Gothic" w:eastAsia="Malgun Gothic"/>
          <w:sz w:val="19"/>
        </w:rPr>
        <w:t>Belgium Gaming Act (7 May 1999, consolidated): https://www.ejustice.just.fgov.be/eli/loi/1999/05/07/1999010222/justel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[P3] </w:t>
      </w:r>
      <w:r>
        <w:rPr>
          <w:rFonts w:ascii="Malgun Gothic" w:hAnsi="Malgun Gothic" w:eastAsia="Malgun Gothic"/>
          <w:sz w:val="19"/>
        </w:rPr>
        <w:t>China Ministry of Culture Notice (Wen Shi Fa [2016] No.32): https://www.gov.cn/gongbao/content/2017/content_5174528.htm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[P4] </w:t>
      </w:r>
      <w:r>
        <w:rPr>
          <w:rFonts w:ascii="Malgun Gothic" w:hAnsi="Malgun Gothic" w:eastAsia="Malgun Gothic"/>
          <w:sz w:val="19"/>
        </w:rPr>
        <w:t>National Press and Publication Administration Notice (minor protection, 2021): https://www.nppa.gov.cn/xxfb/tzgs/202108/t20210830_6154.html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[P5] </w:t>
      </w:r>
      <w:r>
        <w:rPr>
          <w:rFonts w:ascii="Malgun Gothic" w:hAnsi="Malgun Gothic" w:eastAsia="Malgun Gothic"/>
          <w:sz w:val="19"/>
        </w:rPr>
        <w:t>Serbia Law on Games of Chance (Official Gazette portal): https://www.pravno-informacioni-sistem.rs/SlGlasnikPortal/eli/rep/sgrs/skupstina/zakon/2020/18/2/reg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[P6] </w:t>
      </w:r>
      <w:r>
        <w:rPr>
          <w:rFonts w:ascii="Malgun Gothic" w:hAnsi="Malgun Gothic" w:eastAsia="Malgun Gothic"/>
          <w:sz w:val="19"/>
        </w:rPr>
        <w:t>Serbia Tax Administration FAQ (mystery box Q&amp;A): https://www.purs.gov.rs/sr/fizicka-lica/pregled-propisa/najcesca-pitanja/igre-na-srecu-i-nagradne-igre.html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[P7] </w:t>
      </w:r>
      <w:r>
        <w:rPr>
          <w:rFonts w:ascii="Malgun Gothic" w:hAnsi="Malgun Gothic" w:eastAsia="Malgun Gothic"/>
          <w:sz w:val="19"/>
        </w:rPr>
        <w:t>Slovakia Act No. 30/2019 on Gambling Games (Slov-Lex): https://www.slov-lex.sk/pravne-predpisy/SK/ZZ/2019/30/20240101.html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[P8] </w:t>
      </w:r>
      <w:r>
        <w:rPr>
          <w:rFonts w:ascii="Malgun Gothic" w:hAnsi="Malgun Gothic" w:eastAsia="Malgun Gothic"/>
          <w:sz w:val="19"/>
        </w:rPr>
        <w:t>Netherlands Betting and Gaming Act (Wet op de kansspelen): https://wetten.overheid.nl/BWBR0002469/2025-07-01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[P9] </w:t>
      </w:r>
      <w:r>
        <w:rPr>
          <w:rFonts w:ascii="Malgun Gothic" w:hAnsi="Malgun Gothic" w:eastAsia="Malgun Gothic"/>
          <w:sz w:val="19"/>
        </w:rPr>
        <w:t>Netherlands Council of State ruling (ECLI:NL:RVS:2022:690): https://content.overheid.nl/documenten/eb95eeec-b6f7-463f-95f3-e670f08576ad.pdf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[P10] </w:t>
      </w:r>
      <w:r>
        <w:rPr>
          <w:rFonts w:ascii="Malgun Gothic" w:hAnsi="Malgun Gothic" w:eastAsia="Malgun Gothic"/>
          <w:sz w:val="19"/>
        </w:rPr>
        <w:t>Dutch Gambling Authority (KSA) – Loot boxes guidance: https://kansspelautoriteit.nl/aanpak-misstanden/aanpak-illegale-kansspelen/gaming/loot-boxes/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[P11] </w:t>
      </w:r>
      <w:r>
        <w:rPr>
          <w:rFonts w:ascii="Malgun Gothic" w:hAnsi="Malgun Gothic" w:eastAsia="Malgun Gothic"/>
          <w:sz w:val="19"/>
        </w:rPr>
        <w:t>Korea Game Industry Promotion Act: https://law.go.kr/법령/게임산업진흥에관한법률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[P12] </w:t>
      </w:r>
      <w:r>
        <w:rPr>
          <w:rFonts w:ascii="Malgun Gothic" w:hAnsi="Malgun Gothic" w:eastAsia="Malgun Gothic"/>
          <w:sz w:val="19"/>
        </w:rPr>
        <w:t>MCST press release on probability-item disclosure enforcement (2024-03-22): https://www.mcst.go.kr/kor/s_notice/press/pressView.jsp?pSeq=20857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[P13] </w:t>
      </w:r>
      <w:r>
        <w:rPr>
          <w:rFonts w:ascii="Malgun Gothic" w:hAnsi="Malgun Gothic" w:eastAsia="Malgun Gothic"/>
          <w:sz w:val="19"/>
        </w:rPr>
        <w:t>Taiwan online game standard contract mandatory/prohibited terms (Art.6 probability disclosure): https://law.moj.gov.tw/LawClass/LawAll.aspx?pcode=J0080089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[P14] </w:t>
      </w:r>
      <w:r>
        <w:rPr>
          <w:rFonts w:ascii="Malgun Gothic" w:hAnsi="Malgun Gothic" w:eastAsia="Malgun Gothic"/>
          <w:sz w:val="19"/>
        </w:rPr>
        <w:t>Japan CAA material on complete gacha (2012): https://www.caa.go.jp/policies/policy/representation/fair_labeling/pdf/120518premiums_1.pdf</w:t>
      </w:r>
    </w:p>
    <w:p>
      <w:pPr>
        <w:pStyle w:val="ListNumber"/>
        <w:spacing w:lineRule="auto" w:line="288" w:after="40"/>
        <w:jc w:val="left"/>
      </w:pPr>
      <w:r>
        <w:rPr>
          <w:rFonts w:ascii="Malgun Gothic" w:hAnsi="Malgun Gothic" w:eastAsia="Malgun Gothic"/>
          <w:b/>
          <w:color w:val="19376D"/>
          <w:sz w:val="19"/>
        </w:rPr>
        <w:t xml:space="preserve">[P15] </w:t>
      </w:r>
      <w:r>
        <w:rPr>
          <w:rFonts w:ascii="Malgun Gothic" w:hAnsi="Malgun Gothic" w:eastAsia="Malgun Gothic"/>
          <w:sz w:val="19"/>
        </w:rPr>
        <w:t>CESA guideline/industry self-regulation materials: https://www.cesa.or.jp/info/efforts.html</w:t>
      </w:r>
    </w:p>
    <w:p>
      <w:pPr>
        <w:spacing w:lineRule="auto" w:line="312"/>
        <w:jc w:val="both"/>
      </w:pPr>
      <w:r>
        <w:rPr>
          <w:rFonts w:ascii="Malgun Gothic" w:hAnsi="Malgun Gothic" w:eastAsia="Malgun Gothic"/>
          <w:b w:val="0"/>
          <w:color w:val="595959"/>
          <w:sz w:val="19"/>
        </w:rPr>
        <w:t>주: 세르비아·슬로바키아 조문은 원문(현지어) 기준으로 해석했으며, 영어 번역은 비공식 번역/자동번역을 병행 참고했습니다.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787878"/>
        <w:sz w:val="18"/>
      </w:rPr>
      <w:t xml:space="preserve">Page </w:t>
    </w:r>
    <w:fldSimple w:instr="PAGE"/>
    <w:r>
      <w:rPr>
        <w:rFonts w:ascii="Malgun Gothic" w:hAnsi="Malgun Gothic" w:eastAsia="Malgun Gothic"/>
        <w:color w:val="787878"/>
        <w:sz w:val="18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algun Gothic" w:hAnsi="Malgun Gothic" w:eastAsia="Malgun Gothic"/>
        <w:color w:val="787878"/>
        <w:sz w:val="18"/>
      </w:rPr>
      <w:t>JINJU LAW FIRM | Game Legal Regulatory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937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937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937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