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2215291"/>
            <wp:docPr id="1" name="Picture 1"/>
            <wp:cNvGraphicFramePr>
              <a:graphicFrameLocks noChangeAspect="1"/>
            </wp:cNvGraphicFramePr>
            <a:graphic>
              <a:graphicData uri="http://schemas.openxmlformats.org/drawingml/2006/picture">
                <pic:pic>
                  <pic:nvPicPr>
                    <pic:cNvPr id="0" name="zetech_logo.png"/>
                    <pic:cNvPicPr/>
                  </pic:nvPicPr>
                  <pic:blipFill>
                    <a:blip r:embed="rId9"/>
                    <a:stretch>
                      <a:fillRect/>
                    </a:stretch>
                  </pic:blipFill>
                  <pic:spPr>
                    <a:xfrm>
                      <a:off x="0" y="0"/>
                      <a:ext cx="2011680" cy="2215291"/>
                    </a:xfrm>
                    <a:prstGeom prst="rect"/>
                  </pic:spPr>
                </pic:pic>
              </a:graphicData>
            </a:graphic>
          </wp:inline>
        </w:drawing>
      </w:r>
    </w:p>
    <w:p>
      <w:pPr>
        <w:spacing w:after="240"/>
      </w:pPr>
    </w:p>
    <w:p>
      <w:pPr>
        <w:spacing w:after="480"/>
        <w:jc w:val="center"/>
      </w:pPr>
      <w:r>
        <w:rPr>
          <w:rFonts w:ascii="Montserrat" w:hAnsi="Montserrat"/>
          <w:b/>
          <w:color w:val="0A305A"/>
          <w:sz w:val="30"/>
        </w:rPr>
        <w:t>TRIPLE FUSION ENGINE (BULLLOGIC V2.0):</w:t>
        <w:br/>
        <w:t>AN ENSEMBLE MACHINE LEARNING AND TECHNICAL ANALYSIS SYSTEM FOR STOCK MARKET PRICE PREDICTION</w:t>
      </w:r>
    </w:p>
    <w:p>
      <w:pPr>
        <w:spacing w:after="720"/>
        <w:jc w:val="center"/>
      </w:pPr>
      <w:r>
        <w:rPr>
          <w:rFonts w:ascii="Montserrat" w:hAnsi="Montserrat"/>
          <w:b/>
          <w:sz w:val="28"/>
        </w:rPr>
        <w:t>SYSTEM DOCUMENTATION</w:t>
      </w:r>
    </w:p>
    <w:p>
      <w:pPr>
        <w:spacing w:after="240"/>
        <w:jc w:val="center"/>
      </w:pPr>
      <w:r>
        <w:rPr>
          <w:rFonts w:ascii="Montserrat" w:hAnsi="Montserrat"/>
          <w:b/>
          <w:sz w:val="22"/>
        </w:rPr>
        <w:t>SUBMITTED BY,</w:t>
      </w:r>
    </w:p>
    <w:p>
      <w:pPr>
        <w:spacing w:after="120"/>
        <w:jc w:val="center"/>
      </w:pPr>
      <w:r>
        <w:rPr>
          <w:rFonts w:ascii="Montserrat" w:hAnsi="Montserrat"/>
          <w:b/>
          <w:sz w:val="24"/>
        </w:rPr>
        <w:t>KELVIN KIPKIRUI</w:t>
      </w:r>
    </w:p>
    <w:p>
      <w:pPr>
        <w:spacing w:after="960"/>
        <w:jc w:val="center"/>
      </w:pPr>
      <w:r>
        <w:rPr>
          <w:rFonts w:ascii="Montserrat" w:hAnsi="Montserrat"/>
          <w:b/>
          <w:sz w:val="24"/>
        </w:rPr>
        <w:t>DAC-01-0010/2025</w:t>
      </w:r>
    </w:p>
    <w:p>
      <w:pPr>
        <w:spacing w:after="720"/>
        <w:jc w:val="center"/>
      </w:pPr>
      <w:r>
        <w:rPr>
          <w:rFonts w:ascii="Montserrat" w:hAnsi="Montserrat"/>
          <w:b/>
          <w:sz w:val="22"/>
        </w:rPr>
        <w:t>A SYSTEM DOCUMENTATION SUBMITTED IN PARTIAL FULFILMENT FOR THE AWARD OF DIPLOMA IN ARTIFICIAL INTELLIGENCE AND CLOUD TECHNOLOGIES BY ZETECH UNIVERSITY</w:t>
      </w:r>
    </w:p>
    <w:p>
      <w:pPr>
        <w:jc w:val="center"/>
      </w:pPr>
      <w:r>
        <w:rPr>
          <w:rFonts w:ascii="Montserrat" w:hAnsi="Montserrat"/>
          <w:b/>
          <w:sz w:val="24"/>
        </w:rPr>
        <w:t>AUGUST 2026</w:t>
      </w:r>
    </w:p>
    <w:p>
      <w:r>
        <w:br w:type="page"/>
      </w:r>
    </w:p>
    <w:p>
      <w:pPr>
        <w:pStyle w:val="Heading1"/>
      </w:pPr>
      <w:r>
        <w:rPr>
          <w:rFonts w:ascii="Montserrat" w:hAnsi="Montserrat"/>
          <w:b/>
          <w:color w:val="0A305A"/>
          <w:sz w:val="32"/>
        </w:rPr>
        <w:t>DECLARATION</w:t>
      </w:r>
    </w:p>
    <w:p>
      <w:pPr>
        <w:spacing w:after="480"/>
      </w:pPr>
      <w:r>
        <w:t>This Artificial Intelligence and Cloud Technologies project represents the culmination of my independent inquiry, dedication, and effort, significantly shaped by the constructive mentorship of my supervisor. The accompanying documentation accurately details the methodologies and results of the project's development, prioritizing clarity and openness. I confirm that both the project itself and this report are original creations and have not been previously submitted, in this form, to Zetech University or any other academic institution for the award of a Diploma in Artificial Intelligence and Cloud Technologies. The work is free from plagiarism; furthermore, all external sources consulted, including academic literature, online resources, and AI-assisted tools, have been properly cited within the REFERENCES section. I hereby attest to the authenticity and integrity of this content, affirming it as a genuine contribution to the field of AI and cloud systems.</w:t>
      </w:r>
    </w:p>
    <w:p>
      <w:pPr>
        <w:spacing w:after="360"/>
      </w:pPr>
      <w:r>
        <w:t>Student Name: KELVIN KIPKIRUI</w:t>
        <w:br/>
        <w:t>Student admno: DAC-01-0010/2025</w:t>
        <w:br/>
        <w:t>Sign: _____________________</w:t>
        <w:tab/>
        <w:tab/>
        <w:t>Date: _____________________</w:t>
        <w:br/>
        <w:br/>
        <w:t>Supervisor: _____________________</w:t>
        <w:br/>
        <w:t>Sign: _____________________</w:t>
        <w:tab/>
        <w:tab/>
        <w:t>Date: _____________________</w:t>
      </w:r>
    </w:p>
    <w:p>
      <w:r>
        <w:br w:type="page"/>
      </w:r>
    </w:p>
    <w:p>
      <w:pPr>
        <w:pStyle w:val="Heading1"/>
      </w:pPr>
      <w:r>
        <w:rPr>
          <w:rFonts w:ascii="Montserrat" w:hAnsi="Montserrat"/>
          <w:b/>
          <w:color w:val="0A305A"/>
          <w:sz w:val="32"/>
        </w:rPr>
        <w:t>DEDICATION</w:t>
      </w:r>
    </w:p>
    <w:p>
      <w:pPr>
        <w:spacing w:after="480"/>
      </w:pPr>
      <w:r>
        <w:rPr>
          <w:i/>
        </w:rPr>
        <w:t>I dedicate this project to my family for their unwavering support, to my lecturers at Zetech University for their guidance, and to my fellow students for their collaboration throughout my academic journey. Your advice and support made the engineering of this machine learning system possible.</w:t>
      </w:r>
    </w:p>
    <w:p>
      <w:r>
        <w:br w:type="page"/>
      </w:r>
    </w:p>
    <w:p>
      <w:pPr>
        <w:pStyle w:val="Heading1"/>
      </w:pPr>
      <w:r>
        <w:rPr>
          <w:rFonts w:ascii="Montserrat" w:hAnsi="Montserrat"/>
          <w:b/>
          <w:color w:val="0A305A"/>
          <w:sz w:val="32"/>
        </w:rPr>
        <w:t>ABSTRACT</w:t>
      </w:r>
    </w:p>
    <w:p>
      <w:pPr>
        <w:spacing w:after="240"/>
      </w:pPr>
      <w:r>
        <w:t>The Stock Market Price Prediction System, designed under the project name Triple Fusion Engine (BullLogic v2.0), was developed to address the high volatility and non-linear dependencies of financial markets. Traditional prediction methods rely on single-estimator regression models, which often fail to generalise across differing market regimes, or deep learning models (such as LSTM) that suffer from high training latency and risk of overfitting to noise. To overcome these limitations, this project implements a stacking ensemble machine learning framework. The ensemble architecture integrates multiple base models (Linear Regression, Random Forest, XGBoost, and LightGBM) to forecast next-day close prices and return percentages. A Ridge Regression meta-learner is trained on out-of-fold predictions to perform final decision fusion, ensuring high predictive accuracy and zero data leakage. The model leverages technical indicators (SMA, EMA, RSI, MACD, Bollinger Bands) and Inner Circle Trader (ICT) market structure features (Order Blocks, Fair Value Gaps, and Liquidity Sweeps) as input features. The system is implemented using a full-stack microservices architecture, featuring a React 18 frontend utilizing a glassmorphic design, a Django REST backend handling user security, recommendations, and execution metrics, and a FastAPI service dedicated to high-speed model inference. Real-time updates are driven by Redis cache and Celery task queues. Evaluation results show significant improvements in MAE, MSE, and Directional Accuracy over baseline models.</w:t>
      </w:r>
    </w:p>
    <w:p>
      <w:r>
        <w:br w:type="page"/>
      </w:r>
    </w:p>
    <w:p>
      <w:pPr>
        <w:pStyle w:val="Heading1"/>
      </w:pPr>
      <w:r>
        <w:rPr>
          <w:rFonts w:ascii="Montserrat" w:hAnsi="Montserrat"/>
          <w:b/>
          <w:color w:val="0A305A"/>
          <w:sz w:val="32"/>
        </w:rPr>
        <w:t>DEFINITION OF KEY TERMS</w:t>
      </w:r>
    </w:p>
    <w:p>
      <w:pPr>
        <w:spacing w:after="80"/>
      </w:pPr>
      <w:r>
        <w:rPr>
          <w:b/>
        </w:rPr>
        <w:t xml:space="preserve">Base Models – </w:t>
      </w:r>
      <w:r>
        <w:t>Individual estimators (Linear Regression, Random Forest, XGBoost, LightGBM) that learn different aspects of the feature set and feed predictions into the meta-learner.</w:t>
      </w:r>
    </w:p>
    <w:p>
      <w:pPr>
        <w:spacing w:after="80"/>
      </w:pPr>
      <w:r>
        <w:rPr>
          <w:b/>
        </w:rPr>
        <w:t xml:space="preserve">Meta-Learner – </w:t>
      </w:r>
      <w:r>
        <w:t>A second-level algorithm (Ridge Regression) that combines the outputs of base models along with original features to generate the final prediction.</w:t>
      </w:r>
    </w:p>
    <w:p>
      <w:pPr>
        <w:spacing w:after="80"/>
      </w:pPr>
      <w:r>
        <w:rPr>
          <w:b/>
        </w:rPr>
        <w:t xml:space="preserve">Out-of-Fold (OOF) Predictions – </w:t>
      </w:r>
      <w:r>
        <w:t>Cross-validated predictions generated during base model training to ensure that the meta-learner is trained on unseen data, preventing data leakage.</w:t>
      </w:r>
    </w:p>
    <w:p>
      <w:pPr>
        <w:spacing w:after="80"/>
      </w:pPr>
      <w:r>
        <w:rPr>
          <w:b/>
        </w:rPr>
        <w:t xml:space="preserve">Fair Value Gap (FVG) – </w:t>
      </w:r>
      <w:r>
        <w:t>An ICT-based market structure imbalance indicator where price displaces rapidly, leaving a gap between the highs and lows of adjacent candles.</w:t>
      </w:r>
    </w:p>
    <w:p>
      <w:pPr>
        <w:spacing w:after="80"/>
      </w:pPr>
      <w:r>
        <w:rPr>
          <w:b/>
        </w:rPr>
        <w:t xml:space="preserve">Order Block (OB) – </w:t>
      </w:r>
      <w:r>
        <w:t>A zone representing institutional buying or selling blocks, extracted from displacement candle signatures for feature engineering.</w:t>
      </w:r>
    </w:p>
    <w:p>
      <w:pPr>
        <w:spacing w:after="80"/>
      </w:pPr>
      <w:r>
        <w:rPr>
          <w:b/>
        </w:rPr>
        <w:t xml:space="preserve">TimeSeriesSplit – </w:t>
      </w:r>
      <w:r>
        <w:t>A cross-validation method that splits time-series datasets chronologically to prevent future data leakage during model validation.</w:t>
      </w:r>
    </w:p>
    <w:p>
      <w:pPr>
        <w:spacing w:after="80"/>
      </w:pPr>
      <w:r>
        <w:rPr>
          <w:b/>
        </w:rPr>
        <w:t xml:space="preserve">FastAPI Microservice – </w:t>
      </w:r>
      <w:r>
        <w:t>A high-performance Python web framework used in the system to host the trained stacking ensemble models and serve real-time API predictions.</w:t>
      </w:r>
    </w:p>
    <w:p>
      <w:pPr>
        <w:spacing w:after="80"/>
      </w:pPr>
      <w:r>
        <w:rPr>
          <w:b/>
        </w:rPr>
        <w:t xml:space="preserve">Django REST Framework – </w:t>
      </w:r>
      <w:r>
        <w:t>A backend framework used to handle JWT authentication, user registration, strategy recommendations, and post-trade execution analysis.</w:t>
      </w:r>
    </w:p>
    <w:p>
      <w:pPr>
        <w:spacing w:after="80"/>
      </w:pPr>
      <w:r>
        <w:rPr>
          <w:b/>
        </w:rPr>
        <w:t xml:space="preserve">Redis Cache – </w:t>
      </w:r>
      <w:r>
        <w:t>An in-memory data structure store used for sub-millisecond stock quote caching and transaction scheduling queues.</w:t>
      </w:r>
    </w:p>
    <w:p>
      <w:pPr>
        <w:spacing w:after="80"/>
      </w:pPr>
      <w:r>
        <w:rPr>
          <w:b/>
        </w:rPr>
        <w:t xml:space="preserve">Smart Order Router – </w:t>
      </w:r>
      <w:r>
        <w:t>An execution service that splits parent orders into TWAP/VWAP child order slices to minimize slippage and market impact.</w:t>
      </w:r>
    </w:p>
    <w:p>
      <w:r>
        <w:br w:type="page"/>
      </w:r>
    </w:p>
    <w:p>
      <w:pPr>
        <w:pStyle w:val="Heading1"/>
      </w:pPr>
      <w:r>
        <w:rPr>
          <w:rFonts w:ascii="Montserrat" w:hAnsi="Montserrat"/>
          <w:b/>
          <w:color w:val="0A305A"/>
          <w:sz w:val="32"/>
        </w:rPr>
        <w:t>ABBREVIATIONS AND ACRONYMS</w:t>
      </w:r>
    </w:p>
    <w:tbl>
      <w:tblPr>
        <w:tblW w:type="auto" w:w="0"/>
        <w:jc w:val="center"/>
        <w:tblLook w:firstColumn="1" w:firstRow="1" w:lastColumn="0" w:lastRow="0" w:noHBand="0" w:noVBand="1" w:val="04A0"/>
      </w:tblPr>
      <w:tblGrid>
        <w:gridCol w:w="4680"/>
        <w:gridCol w:w="4680"/>
      </w:tblGrid>
      <w:tr>
        <w:tc>
          <w:tcPr>
            <w:tcW w:type="dxa" w:w="4680"/>
          </w:tcPr>
          <w:p>
            <w:r>
              <w:rPr>
                <w:b/>
                <w:color w:val="0A305A"/>
              </w:rPr>
              <w:t>Abbreviation / Acronym</w:t>
            </w:r>
          </w:p>
        </w:tc>
        <w:tc>
          <w:tcPr>
            <w:tcW w:type="dxa" w:w="4680"/>
          </w:tcPr>
          <w:p>
            <w:r>
              <w:rPr>
                <w:b/>
                <w:color w:val="0A305A"/>
              </w:rPr>
              <w:t>Definition</w:t>
            </w:r>
          </w:p>
        </w:tc>
      </w:tr>
      <w:tr>
        <w:tc>
          <w:tcPr>
            <w:tcW w:type="dxa" w:w="4680"/>
            <w:tcMar>
              <w:top w:w="100" w:type="dxa"/>
              <w:bottom w:w="100" w:type="dxa"/>
              <w:left w:w="150" w:type="dxa"/>
              <w:right w:w="150" w:type="dxa"/>
            </w:tcMar>
          </w:tcPr>
          <w:p>
            <w:r>
              <w:t>API</w:t>
            </w:r>
          </w:p>
        </w:tc>
        <w:tc>
          <w:tcPr>
            <w:tcW w:type="dxa" w:w="4680"/>
            <w:tcMar>
              <w:top w:w="100" w:type="dxa"/>
              <w:bottom w:w="100" w:type="dxa"/>
              <w:left w:w="150" w:type="dxa"/>
              <w:right w:w="150" w:type="dxa"/>
            </w:tcMar>
          </w:tcPr>
          <w:p>
            <w:r>
              <w:t>Application Programming Interface</w:t>
            </w:r>
          </w:p>
        </w:tc>
      </w:tr>
      <w:tr>
        <w:tc>
          <w:tcPr>
            <w:tcW w:type="dxa" w:w="4680"/>
            <w:tcMar>
              <w:top w:w="100" w:type="dxa"/>
              <w:bottom w:w="100" w:type="dxa"/>
              <w:left w:w="150" w:type="dxa"/>
              <w:right w:w="150" w:type="dxa"/>
            </w:tcMar>
          </w:tcPr>
          <w:p>
            <w:r>
              <w:t>EMA</w:t>
            </w:r>
          </w:p>
        </w:tc>
        <w:tc>
          <w:tcPr>
            <w:tcW w:type="dxa" w:w="4680"/>
            <w:tcMar>
              <w:top w:w="100" w:type="dxa"/>
              <w:bottom w:w="100" w:type="dxa"/>
              <w:left w:w="150" w:type="dxa"/>
              <w:right w:w="150" w:type="dxa"/>
            </w:tcMar>
          </w:tcPr>
          <w:p>
            <w:r>
              <w:t>Exponential Moving Average</w:t>
            </w:r>
          </w:p>
        </w:tc>
      </w:tr>
      <w:tr>
        <w:tc>
          <w:tcPr>
            <w:tcW w:type="dxa" w:w="4680"/>
            <w:tcMar>
              <w:top w:w="100" w:type="dxa"/>
              <w:bottom w:w="100" w:type="dxa"/>
              <w:left w:w="150" w:type="dxa"/>
              <w:right w:w="150" w:type="dxa"/>
            </w:tcMar>
          </w:tcPr>
          <w:p>
            <w:r>
              <w:t>FVG</w:t>
            </w:r>
          </w:p>
        </w:tc>
        <w:tc>
          <w:tcPr>
            <w:tcW w:type="dxa" w:w="4680"/>
            <w:tcMar>
              <w:top w:w="100" w:type="dxa"/>
              <w:bottom w:w="100" w:type="dxa"/>
              <w:left w:w="150" w:type="dxa"/>
              <w:right w:w="150" w:type="dxa"/>
            </w:tcMar>
          </w:tcPr>
          <w:p>
            <w:r>
              <w:t>Fair Value Gap</w:t>
            </w:r>
          </w:p>
        </w:tc>
      </w:tr>
      <w:tr>
        <w:tc>
          <w:tcPr>
            <w:tcW w:type="dxa" w:w="4680"/>
            <w:tcMar>
              <w:top w:w="100" w:type="dxa"/>
              <w:bottom w:w="100" w:type="dxa"/>
              <w:left w:w="150" w:type="dxa"/>
              <w:right w:w="150" w:type="dxa"/>
            </w:tcMar>
          </w:tcPr>
          <w:p>
            <w:r>
              <w:t>JWT</w:t>
            </w:r>
          </w:p>
        </w:tc>
        <w:tc>
          <w:tcPr>
            <w:tcW w:type="dxa" w:w="4680"/>
            <w:tcMar>
              <w:top w:w="100" w:type="dxa"/>
              <w:bottom w:w="100" w:type="dxa"/>
              <w:left w:w="150" w:type="dxa"/>
              <w:right w:w="150" w:type="dxa"/>
            </w:tcMar>
          </w:tcPr>
          <w:p>
            <w:r>
              <w:t>JSON Web Token</w:t>
            </w:r>
          </w:p>
        </w:tc>
      </w:tr>
      <w:tr>
        <w:tc>
          <w:tcPr>
            <w:tcW w:type="dxa" w:w="4680"/>
            <w:tcMar>
              <w:top w:w="100" w:type="dxa"/>
              <w:bottom w:w="100" w:type="dxa"/>
              <w:left w:w="150" w:type="dxa"/>
              <w:right w:w="150" w:type="dxa"/>
            </w:tcMar>
          </w:tcPr>
          <w:p>
            <w:r>
              <w:t>LGB</w:t>
            </w:r>
          </w:p>
        </w:tc>
        <w:tc>
          <w:tcPr>
            <w:tcW w:type="dxa" w:w="4680"/>
            <w:tcMar>
              <w:top w:w="100" w:type="dxa"/>
              <w:bottom w:w="100" w:type="dxa"/>
              <w:left w:w="150" w:type="dxa"/>
              <w:right w:w="150" w:type="dxa"/>
            </w:tcMar>
          </w:tcPr>
          <w:p>
            <w:r>
              <w:t>LightGBM (Light Gradient Boosting Machine)</w:t>
            </w:r>
          </w:p>
        </w:tc>
      </w:tr>
      <w:tr>
        <w:tc>
          <w:tcPr>
            <w:tcW w:type="dxa" w:w="4680"/>
            <w:tcMar>
              <w:top w:w="100" w:type="dxa"/>
              <w:bottom w:w="100" w:type="dxa"/>
              <w:left w:w="150" w:type="dxa"/>
              <w:right w:w="150" w:type="dxa"/>
            </w:tcMar>
          </w:tcPr>
          <w:p>
            <w:r>
              <w:t>LR</w:t>
            </w:r>
          </w:p>
        </w:tc>
        <w:tc>
          <w:tcPr>
            <w:tcW w:type="dxa" w:w="4680"/>
            <w:tcMar>
              <w:top w:w="100" w:type="dxa"/>
              <w:bottom w:w="100" w:type="dxa"/>
              <w:left w:w="150" w:type="dxa"/>
              <w:right w:w="150" w:type="dxa"/>
            </w:tcMar>
          </w:tcPr>
          <w:p>
            <w:r>
              <w:t>Linear Regression</w:t>
            </w:r>
          </w:p>
        </w:tc>
      </w:tr>
      <w:tr>
        <w:tc>
          <w:tcPr>
            <w:tcW w:type="dxa" w:w="4680"/>
            <w:tcMar>
              <w:top w:w="100" w:type="dxa"/>
              <w:bottom w:w="100" w:type="dxa"/>
              <w:left w:w="150" w:type="dxa"/>
              <w:right w:w="150" w:type="dxa"/>
            </w:tcMar>
          </w:tcPr>
          <w:p>
            <w:r>
              <w:t>MACD</w:t>
            </w:r>
          </w:p>
        </w:tc>
        <w:tc>
          <w:tcPr>
            <w:tcW w:type="dxa" w:w="4680"/>
            <w:tcMar>
              <w:top w:w="100" w:type="dxa"/>
              <w:bottom w:w="100" w:type="dxa"/>
              <w:left w:w="150" w:type="dxa"/>
              <w:right w:w="150" w:type="dxa"/>
            </w:tcMar>
          </w:tcPr>
          <w:p>
            <w:r>
              <w:t>Moving Average Convergence Divergence</w:t>
            </w:r>
          </w:p>
        </w:tc>
      </w:tr>
      <w:tr>
        <w:tc>
          <w:tcPr>
            <w:tcW w:type="dxa" w:w="4680"/>
            <w:tcMar>
              <w:top w:w="100" w:type="dxa"/>
              <w:bottom w:w="100" w:type="dxa"/>
              <w:left w:w="150" w:type="dxa"/>
              <w:right w:w="150" w:type="dxa"/>
            </w:tcMar>
          </w:tcPr>
          <w:p>
            <w:r>
              <w:t>MAE</w:t>
            </w:r>
          </w:p>
        </w:tc>
        <w:tc>
          <w:tcPr>
            <w:tcW w:type="dxa" w:w="4680"/>
            <w:tcMar>
              <w:top w:w="100" w:type="dxa"/>
              <w:bottom w:w="100" w:type="dxa"/>
              <w:left w:w="150" w:type="dxa"/>
              <w:right w:w="150" w:type="dxa"/>
            </w:tcMar>
          </w:tcPr>
          <w:p>
            <w:r>
              <w:t>Mean Absolute Error</w:t>
            </w:r>
          </w:p>
        </w:tc>
      </w:tr>
      <w:tr>
        <w:tc>
          <w:tcPr>
            <w:tcW w:type="dxa" w:w="4680"/>
            <w:tcMar>
              <w:top w:w="100" w:type="dxa"/>
              <w:bottom w:w="100" w:type="dxa"/>
              <w:left w:w="150" w:type="dxa"/>
              <w:right w:w="150" w:type="dxa"/>
            </w:tcMar>
          </w:tcPr>
          <w:p>
            <w:r>
              <w:t>ML</w:t>
            </w:r>
          </w:p>
        </w:tc>
        <w:tc>
          <w:tcPr>
            <w:tcW w:type="dxa" w:w="4680"/>
            <w:tcMar>
              <w:top w:w="100" w:type="dxa"/>
              <w:bottom w:w="100" w:type="dxa"/>
              <w:left w:w="150" w:type="dxa"/>
              <w:right w:w="150" w:type="dxa"/>
            </w:tcMar>
          </w:tcPr>
          <w:p>
            <w:r>
              <w:t>Machine Learning</w:t>
            </w:r>
          </w:p>
        </w:tc>
      </w:tr>
      <w:tr>
        <w:tc>
          <w:tcPr>
            <w:tcW w:type="dxa" w:w="4680"/>
            <w:tcMar>
              <w:top w:w="100" w:type="dxa"/>
              <w:bottom w:w="100" w:type="dxa"/>
              <w:left w:w="150" w:type="dxa"/>
              <w:right w:w="150" w:type="dxa"/>
            </w:tcMar>
          </w:tcPr>
          <w:p>
            <w:r>
              <w:t>MLOps</w:t>
            </w:r>
          </w:p>
        </w:tc>
        <w:tc>
          <w:tcPr>
            <w:tcW w:type="dxa" w:w="4680"/>
            <w:tcMar>
              <w:top w:w="100" w:type="dxa"/>
              <w:bottom w:w="100" w:type="dxa"/>
              <w:left w:w="150" w:type="dxa"/>
              <w:right w:w="150" w:type="dxa"/>
            </w:tcMar>
          </w:tcPr>
          <w:p>
            <w:r>
              <w:t>Machine Learning Operations</w:t>
            </w:r>
          </w:p>
        </w:tc>
      </w:tr>
      <w:tr>
        <w:tc>
          <w:tcPr>
            <w:tcW w:type="dxa" w:w="4680"/>
            <w:tcMar>
              <w:top w:w="100" w:type="dxa"/>
              <w:bottom w:w="100" w:type="dxa"/>
              <w:left w:w="150" w:type="dxa"/>
              <w:right w:w="150" w:type="dxa"/>
            </w:tcMar>
          </w:tcPr>
          <w:p>
            <w:r>
              <w:t>MSE</w:t>
            </w:r>
          </w:p>
        </w:tc>
        <w:tc>
          <w:tcPr>
            <w:tcW w:type="dxa" w:w="4680"/>
            <w:tcMar>
              <w:top w:w="100" w:type="dxa"/>
              <w:bottom w:w="100" w:type="dxa"/>
              <w:left w:w="150" w:type="dxa"/>
              <w:right w:w="150" w:type="dxa"/>
            </w:tcMar>
          </w:tcPr>
          <w:p>
            <w:r>
              <w:t>Mean Squared Error</w:t>
            </w:r>
          </w:p>
        </w:tc>
      </w:tr>
      <w:tr>
        <w:tc>
          <w:tcPr>
            <w:tcW w:type="dxa" w:w="4680"/>
            <w:tcMar>
              <w:top w:w="100" w:type="dxa"/>
              <w:bottom w:w="100" w:type="dxa"/>
              <w:left w:w="150" w:type="dxa"/>
              <w:right w:w="150" w:type="dxa"/>
            </w:tcMar>
          </w:tcPr>
          <w:p>
            <w:r>
              <w:t>MT5</w:t>
            </w:r>
          </w:p>
        </w:tc>
        <w:tc>
          <w:tcPr>
            <w:tcW w:type="dxa" w:w="4680"/>
            <w:tcMar>
              <w:top w:w="100" w:type="dxa"/>
              <w:bottom w:w="100" w:type="dxa"/>
              <w:left w:w="150" w:type="dxa"/>
              <w:right w:w="150" w:type="dxa"/>
            </w:tcMar>
          </w:tcPr>
          <w:p>
            <w:r>
              <w:t>MetaTrader 5</w:t>
            </w:r>
          </w:p>
        </w:tc>
      </w:tr>
      <w:tr>
        <w:tc>
          <w:tcPr>
            <w:tcW w:type="dxa" w:w="4680"/>
            <w:tcMar>
              <w:top w:w="100" w:type="dxa"/>
              <w:bottom w:w="100" w:type="dxa"/>
              <w:left w:w="150" w:type="dxa"/>
              <w:right w:w="150" w:type="dxa"/>
            </w:tcMar>
          </w:tcPr>
          <w:p>
            <w:r>
              <w:t>OB</w:t>
            </w:r>
          </w:p>
        </w:tc>
        <w:tc>
          <w:tcPr>
            <w:tcW w:type="dxa" w:w="4680"/>
            <w:tcMar>
              <w:top w:w="100" w:type="dxa"/>
              <w:bottom w:w="100" w:type="dxa"/>
              <w:left w:w="150" w:type="dxa"/>
              <w:right w:w="150" w:type="dxa"/>
            </w:tcMar>
          </w:tcPr>
          <w:p>
            <w:r>
              <w:t>Order Block</w:t>
            </w:r>
          </w:p>
        </w:tc>
      </w:tr>
      <w:tr>
        <w:tc>
          <w:tcPr>
            <w:tcW w:type="dxa" w:w="4680"/>
            <w:tcMar>
              <w:top w:w="100" w:type="dxa"/>
              <w:bottom w:w="100" w:type="dxa"/>
              <w:left w:w="150" w:type="dxa"/>
              <w:right w:w="150" w:type="dxa"/>
            </w:tcMar>
          </w:tcPr>
          <w:p>
            <w:r>
              <w:t>OOF</w:t>
            </w:r>
          </w:p>
        </w:tc>
        <w:tc>
          <w:tcPr>
            <w:tcW w:type="dxa" w:w="4680"/>
            <w:tcMar>
              <w:top w:w="100" w:type="dxa"/>
              <w:bottom w:w="100" w:type="dxa"/>
              <w:left w:w="150" w:type="dxa"/>
              <w:right w:w="150" w:type="dxa"/>
            </w:tcMar>
          </w:tcPr>
          <w:p>
            <w:r>
              <w:t>Out-of-Fold</w:t>
            </w:r>
          </w:p>
        </w:tc>
      </w:tr>
      <w:tr>
        <w:tc>
          <w:tcPr>
            <w:tcW w:type="dxa" w:w="4680"/>
            <w:tcMar>
              <w:top w:w="100" w:type="dxa"/>
              <w:bottom w:w="100" w:type="dxa"/>
              <w:left w:w="150" w:type="dxa"/>
              <w:right w:w="150" w:type="dxa"/>
            </w:tcMar>
          </w:tcPr>
          <w:p>
            <w:r>
              <w:t>RF</w:t>
            </w:r>
          </w:p>
        </w:tc>
        <w:tc>
          <w:tcPr>
            <w:tcW w:type="dxa" w:w="4680"/>
            <w:tcMar>
              <w:top w:w="100" w:type="dxa"/>
              <w:bottom w:w="100" w:type="dxa"/>
              <w:left w:w="150" w:type="dxa"/>
              <w:right w:w="150" w:type="dxa"/>
            </w:tcMar>
          </w:tcPr>
          <w:p>
            <w:r>
              <w:t>Random Forest</w:t>
            </w:r>
          </w:p>
        </w:tc>
      </w:tr>
      <w:tr>
        <w:tc>
          <w:tcPr>
            <w:tcW w:type="dxa" w:w="4680"/>
            <w:tcMar>
              <w:top w:w="100" w:type="dxa"/>
              <w:bottom w:w="100" w:type="dxa"/>
              <w:left w:w="150" w:type="dxa"/>
              <w:right w:w="150" w:type="dxa"/>
            </w:tcMar>
          </w:tcPr>
          <w:p>
            <w:r>
              <w:t>RMSE</w:t>
            </w:r>
          </w:p>
        </w:tc>
        <w:tc>
          <w:tcPr>
            <w:tcW w:type="dxa" w:w="4680"/>
            <w:tcMar>
              <w:top w:w="100" w:type="dxa"/>
              <w:bottom w:w="100" w:type="dxa"/>
              <w:left w:w="150" w:type="dxa"/>
              <w:right w:w="150" w:type="dxa"/>
            </w:tcMar>
          </w:tcPr>
          <w:p>
            <w:r>
              <w:t>Root Mean Squared Error</w:t>
            </w:r>
          </w:p>
        </w:tc>
      </w:tr>
      <w:tr>
        <w:tc>
          <w:tcPr>
            <w:tcW w:type="dxa" w:w="4680"/>
            <w:tcMar>
              <w:top w:w="100" w:type="dxa"/>
              <w:bottom w:w="100" w:type="dxa"/>
              <w:left w:w="150" w:type="dxa"/>
              <w:right w:w="150" w:type="dxa"/>
            </w:tcMar>
          </w:tcPr>
          <w:p>
            <w:r>
              <w:t>RSI</w:t>
            </w:r>
          </w:p>
        </w:tc>
        <w:tc>
          <w:tcPr>
            <w:tcW w:type="dxa" w:w="4680"/>
            <w:tcMar>
              <w:top w:w="100" w:type="dxa"/>
              <w:bottom w:w="100" w:type="dxa"/>
              <w:left w:w="150" w:type="dxa"/>
              <w:right w:w="150" w:type="dxa"/>
            </w:tcMar>
          </w:tcPr>
          <w:p>
            <w:r>
              <w:t>Relative Strength Index</w:t>
            </w:r>
          </w:p>
        </w:tc>
      </w:tr>
      <w:tr>
        <w:tc>
          <w:tcPr>
            <w:tcW w:type="dxa" w:w="4680"/>
            <w:tcMar>
              <w:top w:w="100" w:type="dxa"/>
              <w:bottom w:w="100" w:type="dxa"/>
              <w:left w:w="150" w:type="dxa"/>
              <w:right w:w="150" w:type="dxa"/>
            </w:tcMar>
          </w:tcPr>
          <w:p>
            <w:r>
              <w:t>SMA</w:t>
            </w:r>
          </w:p>
        </w:tc>
        <w:tc>
          <w:tcPr>
            <w:tcW w:type="dxa" w:w="4680"/>
            <w:tcMar>
              <w:top w:w="100" w:type="dxa"/>
              <w:bottom w:w="100" w:type="dxa"/>
              <w:left w:w="150" w:type="dxa"/>
              <w:right w:w="150" w:type="dxa"/>
            </w:tcMar>
          </w:tcPr>
          <w:p>
            <w:r>
              <w:t>Simple Moving Average</w:t>
            </w:r>
          </w:p>
        </w:tc>
      </w:tr>
      <w:tr>
        <w:tc>
          <w:tcPr>
            <w:tcW w:type="dxa" w:w="4680"/>
            <w:tcMar>
              <w:top w:w="100" w:type="dxa"/>
              <w:bottom w:w="100" w:type="dxa"/>
              <w:left w:w="150" w:type="dxa"/>
              <w:right w:w="150" w:type="dxa"/>
            </w:tcMar>
          </w:tcPr>
          <w:p>
            <w:r>
              <w:t>SVD</w:t>
            </w:r>
          </w:p>
        </w:tc>
        <w:tc>
          <w:tcPr>
            <w:tcW w:type="dxa" w:w="4680"/>
            <w:tcMar>
              <w:top w:w="100" w:type="dxa"/>
              <w:bottom w:w="100" w:type="dxa"/>
              <w:left w:w="150" w:type="dxa"/>
              <w:right w:w="150" w:type="dxa"/>
            </w:tcMar>
          </w:tcPr>
          <w:p>
            <w:r>
              <w:t>Singular Value Decomposition</w:t>
            </w:r>
          </w:p>
        </w:tc>
      </w:tr>
      <w:tr>
        <w:tc>
          <w:tcPr>
            <w:tcW w:type="dxa" w:w="4680"/>
            <w:tcMar>
              <w:top w:w="100" w:type="dxa"/>
              <w:bottom w:w="100" w:type="dxa"/>
              <w:left w:w="150" w:type="dxa"/>
              <w:right w:w="150" w:type="dxa"/>
            </w:tcMar>
          </w:tcPr>
          <w:p>
            <w:r>
              <w:t>TWAP</w:t>
            </w:r>
          </w:p>
        </w:tc>
        <w:tc>
          <w:tcPr>
            <w:tcW w:type="dxa" w:w="4680"/>
            <w:tcMar>
              <w:top w:w="100" w:type="dxa"/>
              <w:bottom w:w="100" w:type="dxa"/>
              <w:left w:w="150" w:type="dxa"/>
              <w:right w:w="150" w:type="dxa"/>
            </w:tcMar>
          </w:tcPr>
          <w:p>
            <w:r>
              <w:t>Time-Weighted Average Price</w:t>
            </w:r>
          </w:p>
        </w:tc>
      </w:tr>
      <w:tr>
        <w:tc>
          <w:tcPr>
            <w:tcW w:type="dxa" w:w="4680"/>
            <w:tcMar>
              <w:top w:w="100" w:type="dxa"/>
              <w:bottom w:w="100" w:type="dxa"/>
              <w:left w:w="150" w:type="dxa"/>
              <w:right w:w="150" w:type="dxa"/>
            </w:tcMar>
          </w:tcPr>
          <w:p>
            <w:r>
              <w:t>VWAP</w:t>
            </w:r>
          </w:p>
        </w:tc>
        <w:tc>
          <w:tcPr>
            <w:tcW w:type="dxa" w:w="4680"/>
            <w:tcMar>
              <w:top w:w="100" w:type="dxa"/>
              <w:bottom w:w="100" w:type="dxa"/>
              <w:left w:w="150" w:type="dxa"/>
              <w:right w:w="150" w:type="dxa"/>
            </w:tcMar>
          </w:tcPr>
          <w:p>
            <w:r>
              <w:t>Volume-Weighted Average Price</w:t>
            </w:r>
          </w:p>
        </w:tc>
      </w:tr>
      <w:tr>
        <w:tc>
          <w:tcPr>
            <w:tcW w:type="dxa" w:w="4680"/>
            <w:tcMar>
              <w:top w:w="100" w:type="dxa"/>
              <w:bottom w:w="100" w:type="dxa"/>
              <w:left w:w="150" w:type="dxa"/>
              <w:right w:w="150" w:type="dxa"/>
            </w:tcMar>
          </w:tcPr>
          <w:p>
            <w:r>
              <w:t>XGB</w:t>
            </w:r>
          </w:p>
        </w:tc>
        <w:tc>
          <w:tcPr>
            <w:tcW w:type="dxa" w:w="4680"/>
            <w:tcMar>
              <w:top w:w="100" w:type="dxa"/>
              <w:bottom w:w="100" w:type="dxa"/>
              <w:left w:w="150" w:type="dxa"/>
              <w:right w:w="150" w:type="dxa"/>
            </w:tcMar>
          </w:tcPr>
          <w:p>
            <w:r>
              <w:t>XGBoost (Extreme Gradient Boosting)</w:t>
            </w:r>
          </w:p>
        </w:tc>
      </w:tr>
    </w:tbl>
    <w:p>
      <w:r>
        <w:br w:type="page"/>
      </w:r>
    </w:p>
    <w:p>
      <w:pPr>
        <w:pStyle w:val="Heading1"/>
      </w:pPr>
      <w:r>
        <w:rPr>
          <w:rFonts w:ascii="Montserrat" w:hAnsi="Montserrat"/>
          <w:b/>
          <w:color w:val="0A305A"/>
          <w:sz w:val="36"/>
        </w:rPr>
        <w:t>CHAPTER ONE: PROJECT WORKPLAN</w:t>
      </w:r>
    </w:p>
    <w:p>
      <w:pPr>
        <w:pStyle w:val="Heading2"/>
      </w:pPr>
      <w:r>
        <w:rPr>
          <w:rFonts w:ascii="Montserrat" w:hAnsi="Montserrat"/>
          <w:b/>
          <w:color w:val="0A305A"/>
          <w:sz w:val="28"/>
        </w:rPr>
        <w:t>1.1 Statement of Problem</w:t>
      </w:r>
    </w:p>
    <w:p>
      <w:pPr>
        <w:spacing w:after="240"/>
      </w:pPr>
      <w:r>
        <w:t>Modern financial trading environments are characterised by high market volatility, transaction noise, and non-linear dependencies that make manual and single-indicator predictive strategies highly ineffective. Retail and institutional traders struggle with lag in execution systems and the inability to adapt to sudden market regime changes. Traditional statistical approaches (like basic regression) and deep learning networks (like LSTM) either underfit volatile price steps or overfit to historical noise, failing to achieve reliable prediction generalisation. Therefore, there is a clear demand for an integrated MLOps framework that combines multi-estimator stacking ensembles with market structure indicators (e.g. Order Blocks, FVG imbalances) and high-speed execution bridges to perform accurate, low-latency price forecasts and proactive risk management.</w:t>
      </w:r>
    </w:p>
    <w:p>
      <w:pPr>
        <w:pStyle w:val="Heading2"/>
      </w:pPr>
      <w:r>
        <w:rPr>
          <w:rFonts w:ascii="Montserrat" w:hAnsi="Montserrat"/>
          <w:b/>
          <w:color w:val="0A305A"/>
          <w:sz w:val="28"/>
        </w:rPr>
        <w:t>1.2 Other Researched Solution Alternatives</w:t>
      </w:r>
    </w:p>
    <w:p>
      <w:pPr>
        <w:pStyle w:val="Heading3"/>
      </w:pPr>
      <w:r>
        <w:rPr>
          <w:rFonts w:ascii="Montserrat" w:hAnsi="Montserrat"/>
          <w:b/>
          <w:i/>
          <w:color w:val="0A305A"/>
          <w:sz w:val="24"/>
        </w:rPr>
        <w:t>1.2.1 Simple Regression Baseline</w:t>
      </w:r>
    </w:p>
    <w:p>
      <w:pPr>
        <w:spacing w:after="240"/>
      </w:pPr>
      <w:r>
        <w:t>A basic statistical model that forecasts stock prices based on simple historical trends. This baseline model is technically simple but fails to capture the non-linear dynamics, volatile market shifts, and institutional trading flows (e.g., liquidity sweeps, FVG imbalances) inherent in financial markets. It leads to high Mean Absolute Error (MAE) and low directional prediction rates.</w:t>
      </w:r>
    </w:p>
    <w:p>
      <w:pPr>
        <w:pStyle w:val="Heading3"/>
      </w:pPr>
      <w:r>
        <w:rPr>
          <w:rFonts w:ascii="Montserrat" w:hAnsi="Montserrat"/>
          <w:b/>
          <w:i/>
          <w:color w:val="0A305A"/>
          <w:sz w:val="24"/>
        </w:rPr>
        <w:t>1.2.2 Recurrent Neural Network (LSTM)</w:t>
      </w:r>
    </w:p>
    <w:p>
      <w:pPr>
        <w:spacing w:after="240"/>
      </w:pPr>
      <w:r>
        <w:t>A deep learning architecture designed to learn sequential time-series patterns. While LSTMs are effective at learning temporal relationships, they require high computational power, take substantial time to train, and suffer from vanishing gradients when modeled on extended sequence lookbacks. LSTMs are also prone to overfitting on high-noise financial data, making them less robust in live quantitative settings without substantial regularization.</w:t>
      </w:r>
    </w:p>
    <w:p>
      <w:pPr>
        <w:pStyle w:val="Heading3"/>
      </w:pPr>
      <w:r>
        <w:rPr>
          <w:rFonts w:ascii="Montserrat" w:hAnsi="Montserrat"/>
          <w:b/>
          <w:i/>
          <w:color w:val="0A305A"/>
          <w:sz w:val="24"/>
        </w:rPr>
        <w:t>1.2.3 Stacking Ensemble Model (Final Selection)</w:t>
      </w:r>
    </w:p>
    <w:p>
      <w:pPr>
        <w:spacing w:after="240"/>
      </w:pPr>
      <w:r>
        <w:t>An ensemble framework combining several diverse base algorithms (Linear Regression, Random Forest, XGBoost, and LightGBM) with a Ridge Regression meta-learner. The stacking model leverages cross-validated out-of-fold base predictions to prevent data leakage and combines multiple statistical, tree-based, and gradient-boosted estimators. This fusion balances model complexity, captures both linear and non-linear patterns, and achieves higher directional and structural price prediction accuracy.</w:t>
      </w:r>
    </w:p>
    <w:p>
      <w:pPr>
        <w:pStyle w:val="Heading2"/>
      </w:pPr>
      <w:r>
        <w:rPr>
          <w:rFonts w:ascii="Montserrat" w:hAnsi="Montserrat"/>
          <w:b/>
          <w:color w:val="0A305A"/>
          <w:sz w:val="28"/>
        </w:rPr>
        <w:t>1.3 Project objectives</w:t>
      </w:r>
    </w:p>
    <w:p>
      <w:pPr>
        <w:pStyle w:val="Heading3"/>
      </w:pPr>
      <w:r>
        <w:rPr>
          <w:rFonts w:ascii="Montserrat" w:hAnsi="Montserrat"/>
          <w:b/>
          <w:color w:val="0A305A"/>
          <w:sz w:val="24"/>
        </w:rPr>
        <w:t>1.3.1 General Objective</w:t>
      </w:r>
    </w:p>
    <w:p>
      <w:pPr>
        <w:spacing w:after="240"/>
      </w:pPr>
      <w:r>
        <w:t>To develop an integrated stacking ensemble machine learning system that forecasts market closing prices and direction of movement using technical indicators and market structure factors.</w:t>
      </w:r>
    </w:p>
    <w:p>
      <w:pPr>
        <w:pStyle w:val="Heading3"/>
      </w:pPr>
      <w:r>
        <w:rPr>
          <w:rFonts w:ascii="Montserrat" w:hAnsi="Montserrat"/>
          <w:b/>
          <w:color w:val="0A305A"/>
          <w:sz w:val="24"/>
        </w:rPr>
        <w:t>1.3.2 Specific Objectives</w:t>
      </w:r>
    </w:p>
    <w:p>
      <w:pPr>
        <w:spacing w:after="120"/>
        <w:ind w:left="360"/>
      </w:pPr>
      <w:r>
        <w:rPr>
          <w:b/>
        </w:rPr>
        <w:t xml:space="preserve">1. </w:t>
      </w:r>
      <w:r>
        <w:t>To create a framework (code and database) for collecting and processing historical stock market data and engineering technical and ICT-inspired indicators.</w:t>
      </w:r>
    </w:p>
    <w:p>
      <w:pPr>
        <w:spacing w:after="120"/>
        <w:ind w:left="360"/>
      </w:pPr>
      <w:r>
        <w:rPr>
          <w:b/>
        </w:rPr>
        <w:t xml:space="preserve">2. </w:t>
      </w:r>
      <w:r>
        <w:t>To implement and train a Stacking Ensemble model utilizing Linear Regression, Random Forest, XGBoost, and LightGBM base models, and a Ridge Regression meta-learner.</w:t>
      </w:r>
    </w:p>
    <w:p>
      <w:pPr>
        <w:spacing w:after="120"/>
        <w:ind w:left="360"/>
      </w:pPr>
      <w:r>
        <w:rPr>
          <w:b/>
        </w:rPr>
        <w:t xml:space="preserve">3. </w:t>
      </w:r>
      <w:r>
        <w:t>To evaluate the trained stacking ensemble model using established statistical metrics (MAE, MSE, RMSE, R2) and directional prediction accuracy.</w:t>
      </w:r>
    </w:p>
    <w:p>
      <w:pPr>
        <w:spacing w:after="120"/>
        <w:ind w:left="360"/>
      </w:pPr>
      <w:r>
        <w:rPr>
          <w:b/>
        </w:rPr>
        <w:t xml:space="preserve">4. </w:t>
      </w:r>
      <w:r>
        <w:t>To build a full-stack web application (React 18 frontend, Django REST backend, and FastAPI microservice) that allows end-users to select tickers, retrieve predictions, and perform interactive backtests.</w:t>
      </w:r>
    </w:p>
    <w:p>
      <w:pPr>
        <w:pStyle w:val="Heading2"/>
      </w:pPr>
      <w:r>
        <w:rPr>
          <w:rFonts w:ascii="Montserrat" w:hAnsi="Montserrat"/>
          <w:b/>
          <w:color w:val="0A305A"/>
          <w:sz w:val="28"/>
        </w:rPr>
        <w:t>1.4 Scope of the Study</w:t>
      </w:r>
    </w:p>
    <w:p>
      <w:pPr>
        <w:spacing w:after="240"/>
      </w:pPr>
      <w:r>
        <w:t>This study focuses on engineering and validating a stacking ensemble algorithm for stock price prediction. The model is trained on historical daily datasets (from 2016 to 2026) for select major indexes and equities (such as SPY and QQQ) fetched via Yahoo Finance. The scope of technical implementation encompasses the data extraction pipelines, feature engineering scripts (standard indicators and ICT concepts), stacking ensemble code blocks, and the web deployment suite (React 18 frontend, Django REST, and FastAPI microservice gateway).</w:t>
      </w:r>
    </w:p>
    <w:p>
      <w:pPr>
        <w:pStyle w:val="Heading2"/>
      </w:pPr>
      <w:r>
        <w:rPr>
          <w:rFonts w:ascii="Montserrat" w:hAnsi="Montserrat"/>
          <w:b/>
          <w:color w:val="0A305A"/>
          <w:sz w:val="28"/>
        </w:rPr>
        <w:t>1.5 Justification of the Study</w:t>
      </w:r>
    </w:p>
    <w:p>
      <w:pPr>
        <w:spacing w:after="240"/>
      </w:pPr>
      <w:r>
        <w:t>This project provides a reliable alternative to simple single-model baseline forecasting systems which are highly prone to error and overfitting. By developing a proper stacking ensemble model, this study shows how diverse algorithms (statistical, tree-based, and gradient boosting trees) can cooperate under a meta-learner to achieve low predictive error. Furthermore, by incorporating institutional price action concepts (Order Blocks and Fair Value Gaps) alongside traditional technical indicators, this project demonstrates the value of market structure features in quantitative systems. The modular microservice architecture serves as a template for scalable MLOps and trading integrations.</w:t>
      </w:r>
    </w:p>
    <w:p>
      <w:pPr>
        <w:pStyle w:val="Heading2"/>
      </w:pPr>
      <w:r>
        <w:rPr>
          <w:rFonts w:ascii="Montserrat" w:hAnsi="Montserrat"/>
          <w:b/>
          <w:color w:val="0A305A"/>
          <w:sz w:val="28"/>
        </w:rPr>
        <w:t>1.6 Hypothesis</w:t>
      </w:r>
    </w:p>
    <w:p>
      <w:pPr>
        <w:spacing w:after="240"/>
      </w:pPr>
      <w:r>
        <w:t>The following hypotheses will guide the development, evaluation, and interpretation of the study based on the research objectives and question posed above:</w:t>
      </w:r>
    </w:p>
    <w:p>
      <w:pPr>
        <w:spacing w:after="240"/>
      </w:pPr>
      <w:r>
        <w:t>H1 (Stacking Ensemble Hypothesis): The stacking ensemble model (combining Linear Regression, Random Forest, XGBoost, and LightGBM base estimators via a Ridge Regression meta-learner) is expected to provide better predictions of future stock closing prices than any of the individual baseline estimators (specifically Linear Regression, Random Forest, XGBoost, and LightGBM running as standalone models) when evaluated on out-of-sample data. This is because the meta-learner combines different learning paradigms (statistical linear trends, random decision splits, and gradient boosting trees) on out-of-fold cross-validated predictions, reducing variance and mitigating individual estimator overfitting (Fischer &amp; Krauss, 2018).</w:t>
      </w:r>
    </w:p>
    <w:p>
      <w:pPr>
        <w:spacing w:after="240"/>
      </w:pPr>
      <w:r>
        <w:t>H2 (feature engineering hypothesis): Models that use engineered technical indicators (for example, Relative Strength Index (RSI), Moving Average Convergence Divergence (MACD), Bollinger Bands, and moving averages) and Inner Circle Trader (ICT) market structure features (such as Order Blocks and Fair Value Gaps) in addition to OHLCV data to predict next day stock closing prices should perform with lower Mean Absolute Error (MAE) and higher directional accuracy than models trained only on OHLCV price data. This is because technical and structural indicators represent momentum, trend, and institutional flow information not available from the pure OHLCV price series (Nazario et al., 2017; Patel et al., 2015).</w:t>
      </w:r>
    </w:p>
    <w:p>
      <w:pPr>
        <w:pStyle w:val="Heading2"/>
      </w:pPr>
      <w:r>
        <w:rPr>
          <w:rFonts w:ascii="Montserrat" w:hAnsi="Montserrat"/>
          <w:b/>
          <w:color w:val="0A305A"/>
          <w:sz w:val="28"/>
        </w:rPr>
        <w:t>1.7 Tools and Resources</w:t>
      </w:r>
    </w:p>
    <w:p>
      <w:pPr>
        <w:spacing w:after="240"/>
      </w:pPr>
      <w:r>
        <w:t>The design and development of the system utilize a thoughtfully selected set of tools, libraries, platforms and data sources. All tools utilized in this project are freely available and open source (unless otherwise noted), thereby creating a replicable construct for other students and developers within a like institutional context. The tools and resources have been categorized below showing the respective function.</w:t>
      </w:r>
    </w:p>
    <w:tbl>
      <w:tblPr>
        <w:tblW w:type="auto" w:w="0"/>
        <w:jc w:val="center"/>
        <w:tblLook w:firstColumn="1" w:firstRow="1" w:lastColumn="0" w:lastRow="0" w:noHBand="0" w:noVBand="1" w:val="04A0"/>
      </w:tblPr>
      <w:tblGrid>
        <w:gridCol w:w="4680"/>
        <w:gridCol w:w="4680"/>
      </w:tblGrid>
      <w:tr>
        <w:tc>
          <w:tcPr>
            <w:tcW w:type="dxa" w:w="4680"/>
          </w:tcPr>
          <w:p>
            <w:r>
              <w:rPr>
                <w:b/>
                <w:color w:val="0A305A"/>
              </w:rPr>
              <w:t>Tool/Resources (Hardware, Software)</w:t>
            </w:r>
          </w:p>
        </w:tc>
        <w:tc>
          <w:tcPr>
            <w:tcW w:type="dxa" w:w="4680"/>
          </w:tcPr>
          <w:p>
            <w:r>
              <w:rPr>
                <w:b/>
                <w:color w:val="0A305A"/>
              </w:rPr>
              <w:t>Purpose</w:t>
            </w:r>
          </w:p>
        </w:tc>
      </w:tr>
      <w:tr>
        <w:tc>
          <w:tcPr>
            <w:tcW w:type="dxa" w:w="4680"/>
            <w:tcMar>
              <w:top w:w="100" w:type="dxa"/>
              <w:bottom w:w="100" w:type="dxa"/>
              <w:left w:w="150" w:type="dxa"/>
              <w:right w:w="150" w:type="dxa"/>
            </w:tcMar>
          </w:tcPr>
          <w:p>
            <w:r>
              <w:t>React 18 + Vite</w:t>
            </w:r>
          </w:p>
        </w:tc>
        <w:tc>
          <w:tcPr>
            <w:tcW w:type="dxa" w:w="4680"/>
            <w:tcMar>
              <w:top w:w="100" w:type="dxa"/>
              <w:bottom w:w="100" w:type="dxa"/>
              <w:left w:w="150" w:type="dxa"/>
              <w:right w:w="150" w:type="dxa"/>
            </w:tcMar>
          </w:tcPr>
          <w:p>
            <w:r>
              <w:t>High-performance frontend library used to build the glassmorphic interactive user dashboard.</w:t>
            </w:r>
          </w:p>
        </w:tc>
      </w:tr>
      <w:tr>
        <w:tc>
          <w:tcPr>
            <w:tcW w:type="dxa" w:w="4680"/>
            <w:tcMar>
              <w:top w:w="100" w:type="dxa"/>
              <w:bottom w:w="100" w:type="dxa"/>
              <w:left w:w="150" w:type="dxa"/>
              <w:right w:w="150" w:type="dxa"/>
            </w:tcMar>
          </w:tcPr>
          <w:p>
            <w:r>
              <w:t>Django REST Framework</w:t>
            </w:r>
          </w:p>
        </w:tc>
        <w:tc>
          <w:tcPr>
            <w:tcW w:type="dxa" w:w="4680"/>
            <w:tcMar>
              <w:top w:w="100" w:type="dxa"/>
              <w:bottom w:w="100" w:type="dxa"/>
              <w:left w:w="150" w:type="dxa"/>
              <w:right w:w="150" w:type="dxa"/>
            </w:tcMar>
          </w:tcPr>
          <w:p>
            <w:r>
              <w:t>Backend MLOps service handling user authentication, recommendations, and execution feedback.</w:t>
            </w:r>
          </w:p>
        </w:tc>
      </w:tr>
      <w:tr>
        <w:tc>
          <w:tcPr>
            <w:tcW w:type="dxa" w:w="4680"/>
            <w:tcMar>
              <w:top w:w="100" w:type="dxa"/>
              <w:bottom w:w="100" w:type="dxa"/>
              <w:left w:w="150" w:type="dxa"/>
              <w:right w:w="150" w:type="dxa"/>
            </w:tcMar>
          </w:tcPr>
          <w:p>
            <w:r>
              <w:t>FastAPI</w:t>
            </w:r>
          </w:p>
        </w:tc>
        <w:tc>
          <w:tcPr>
            <w:tcW w:type="dxa" w:w="4680"/>
            <w:tcMar>
              <w:top w:w="100" w:type="dxa"/>
              <w:bottom w:w="100" w:type="dxa"/>
              <w:left w:w="150" w:type="dxa"/>
              <w:right w:w="150" w:type="dxa"/>
            </w:tcMar>
          </w:tcPr>
          <w:p>
            <w:r>
              <w:t>High-speed API gateway designed to host model inference pipelines and serve WebSocket stock quotes.</w:t>
            </w:r>
          </w:p>
        </w:tc>
      </w:tr>
      <w:tr>
        <w:tc>
          <w:tcPr>
            <w:tcW w:type="dxa" w:w="4680"/>
            <w:tcMar>
              <w:top w:w="100" w:type="dxa"/>
              <w:bottom w:w="100" w:type="dxa"/>
              <w:left w:w="150" w:type="dxa"/>
              <w:right w:w="150" w:type="dxa"/>
            </w:tcMar>
          </w:tcPr>
          <w:p>
            <w:r>
              <w:t>Redis &amp; Celery</w:t>
            </w:r>
          </w:p>
        </w:tc>
        <w:tc>
          <w:tcPr>
            <w:tcW w:type="dxa" w:w="4680"/>
            <w:tcMar>
              <w:top w:w="100" w:type="dxa"/>
              <w:bottom w:w="100" w:type="dxa"/>
              <w:left w:w="150" w:type="dxa"/>
              <w:right w:w="150" w:type="dxa"/>
            </w:tcMar>
          </w:tcPr>
          <w:p>
            <w:r>
              <w:t>Used for sub-millisecond stock quote caching and background model re-training tasks.</w:t>
            </w:r>
          </w:p>
        </w:tc>
      </w:tr>
      <w:tr>
        <w:tc>
          <w:tcPr>
            <w:tcW w:type="dxa" w:w="4680"/>
            <w:tcMar>
              <w:top w:w="100" w:type="dxa"/>
              <w:bottom w:w="100" w:type="dxa"/>
              <w:left w:w="150" w:type="dxa"/>
              <w:right w:w="150" w:type="dxa"/>
            </w:tcMar>
          </w:tcPr>
          <w:p>
            <w:r>
              <w:t>yfinance &amp; Finnhub API</w:t>
            </w:r>
          </w:p>
        </w:tc>
        <w:tc>
          <w:tcPr>
            <w:tcW w:type="dxa" w:w="4680"/>
            <w:tcMar>
              <w:top w:w="100" w:type="dxa"/>
              <w:bottom w:w="100" w:type="dxa"/>
              <w:left w:w="150" w:type="dxa"/>
              <w:right w:w="150" w:type="dxa"/>
            </w:tcMar>
          </w:tcPr>
          <w:p>
            <w:r>
              <w:t>Provide real-time and historical stock price data streams for pipeline ingestion.</w:t>
            </w:r>
          </w:p>
        </w:tc>
      </w:tr>
      <w:tr>
        <w:tc>
          <w:tcPr>
            <w:tcW w:type="dxa" w:w="4680"/>
            <w:tcMar>
              <w:top w:w="100" w:type="dxa"/>
              <w:bottom w:w="100" w:type="dxa"/>
              <w:left w:w="150" w:type="dxa"/>
              <w:right w:w="150" w:type="dxa"/>
            </w:tcMar>
          </w:tcPr>
          <w:p>
            <w:r>
              <w:t>scikit-learn, XGBoost, LightGBM</w:t>
            </w:r>
          </w:p>
        </w:tc>
        <w:tc>
          <w:tcPr>
            <w:tcW w:type="dxa" w:w="4680"/>
            <w:tcMar>
              <w:top w:w="100" w:type="dxa"/>
              <w:bottom w:w="100" w:type="dxa"/>
              <w:left w:w="150" w:type="dxa"/>
              <w:right w:w="150" w:type="dxa"/>
            </w:tcMar>
          </w:tcPr>
          <w:p>
            <w:r>
              <w:t>Core libraries utilized to implement base estimators and stacking algorithms.</w:t>
            </w:r>
          </w:p>
        </w:tc>
      </w:tr>
      <w:tr>
        <w:tc>
          <w:tcPr>
            <w:tcW w:type="dxa" w:w="4680"/>
            <w:tcMar>
              <w:top w:w="100" w:type="dxa"/>
              <w:bottom w:w="100" w:type="dxa"/>
              <w:left w:w="150" w:type="dxa"/>
              <w:right w:w="150" w:type="dxa"/>
            </w:tcMar>
          </w:tcPr>
          <w:p>
            <w:r>
              <w:t>MySQL / SQL Server</w:t>
            </w:r>
          </w:p>
        </w:tc>
        <w:tc>
          <w:tcPr>
            <w:tcW w:type="dxa" w:w="4680"/>
            <w:tcMar>
              <w:top w:w="100" w:type="dxa"/>
              <w:bottom w:w="100" w:type="dxa"/>
              <w:left w:w="150" w:type="dxa"/>
              <w:right w:w="150" w:type="dxa"/>
            </w:tcMar>
          </w:tcPr>
          <w:p>
            <w:r>
              <w:t>Relational database to archive raw logs, processed features, and model outputs.</w:t>
            </w:r>
          </w:p>
        </w:tc>
      </w:tr>
      <w:tr>
        <w:tc>
          <w:tcPr>
            <w:tcW w:type="dxa" w:w="4680"/>
            <w:tcMar>
              <w:top w:w="100" w:type="dxa"/>
              <w:bottom w:w="100" w:type="dxa"/>
              <w:left w:w="150" w:type="dxa"/>
              <w:right w:w="150" w:type="dxa"/>
            </w:tcMar>
          </w:tcPr>
          <w:p>
            <w:r>
              <w:t>Git &amp; GitHub</w:t>
            </w:r>
          </w:p>
        </w:tc>
        <w:tc>
          <w:tcPr>
            <w:tcW w:type="dxa" w:w="4680"/>
            <w:tcMar>
              <w:top w:w="100" w:type="dxa"/>
              <w:bottom w:w="100" w:type="dxa"/>
              <w:left w:w="150" w:type="dxa"/>
              <w:right w:w="150" w:type="dxa"/>
            </w:tcMar>
          </w:tcPr>
          <w:p>
            <w:r>
              <w:t>Version control system to track changes, review code blocks, and coordinate microservices.</w:t>
            </w:r>
          </w:p>
        </w:tc>
      </w:tr>
      <w:tr>
        <w:tc>
          <w:tcPr>
            <w:tcW w:type="dxa" w:w="4680"/>
            <w:tcMar>
              <w:top w:w="100" w:type="dxa"/>
              <w:bottom w:w="100" w:type="dxa"/>
              <w:left w:w="150" w:type="dxa"/>
              <w:right w:w="150" w:type="dxa"/>
            </w:tcMar>
          </w:tcPr>
          <w:p>
            <w:r>
              <w:t>MetaTrader 5 (MT5)</w:t>
            </w:r>
          </w:p>
        </w:tc>
        <w:tc>
          <w:tcPr>
            <w:tcW w:type="dxa" w:w="4680"/>
            <w:tcMar>
              <w:top w:w="100" w:type="dxa"/>
              <w:bottom w:w="100" w:type="dxa"/>
              <w:left w:w="150" w:type="dxa"/>
              <w:right w:w="150" w:type="dxa"/>
            </w:tcMar>
          </w:tcPr>
          <w:p>
            <w:r>
              <w:t>Execution bridge to perform live paper trading based on ensemble model outputs.</w:t>
            </w:r>
          </w:p>
        </w:tc>
      </w:tr>
    </w:tbl>
    <w:p>
      <w:pPr>
        <w:spacing w:before="120" w:after="360"/>
        <w:jc w:val="center"/>
      </w:pPr>
      <w:r>
        <w:rPr>
          <w:b/>
          <w:i/>
          <w:color w:val="808080"/>
        </w:rPr>
        <w:t>Table 1.7 Project Tools and Resources</w:t>
      </w:r>
    </w:p>
    <w:p>
      <w:pPr>
        <w:pStyle w:val="Heading2"/>
      </w:pPr>
      <w:r>
        <w:rPr>
          <w:rFonts w:ascii="Montserrat" w:hAnsi="Montserrat"/>
          <w:b/>
          <w:color w:val="0A305A"/>
          <w:sz w:val="28"/>
        </w:rPr>
        <w:t>1.8 Project Schedule Breakdown (Gantt Chart)</w:t>
      </w:r>
    </w:p>
    <w:p>
      <w:pPr>
        <w:spacing w:after="240"/>
      </w:pPr>
      <w:r>
        <w:t>The project schedule spans 12 weeks, structured to cover data collection, system design, modeling, integration, validation, and documentation phases. The Gantt chart below lists key tasks and timeline allocations.</w:t>
      </w: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Mar>
              <w:top w:w="60" w:type="dxa"/>
              <w:bottom w:w="60" w:type="dxa"/>
              <w:left w:w="80" w:type="dxa"/>
              <w:right w:w="80" w:type="dxa"/>
            </w:tcMar>
          </w:tcPr>
          <w:p>
            <w:r>
              <w:rPr>
                <w:b/>
                <w:color w:val="0A305A"/>
              </w:rPr>
              <w:t>Task Description</w:t>
            </w:r>
          </w:p>
        </w:tc>
        <w:tc>
          <w:tcPr>
            <w:tcW w:type="dxa" w:w="720"/>
            <w:tcMar>
              <w:top w:w="60" w:type="dxa"/>
              <w:bottom w:w="60" w:type="dxa"/>
              <w:left w:w="80" w:type="dxa"/>
              <w:right w:w="80" w:type="dxa"/>
            </w:tcMar>
          </w:tcPr>
          <w:p>
            <w:r>
              <w:rPr>
                <w:b/>
                <w:color w:val="0A305A"/>
              </w:rPr>
              <w:t>W1</w:t>
            </w:r>
          </w:p>
        </w:tc>
        <w:tc>
          <w:tcPr>
            <w:tcW w:type="dxa" w:w="720"/>
            <w:tcMar>
              <w:top w:w="60" w:type="dxa"/>
              <w:bottom w:w="60" w:type="dxa"/>
              <w:left w:w="80" w:type="dxa"/>
              <w:right w:w="80" w:type="dxa"/>
            </w:tcMar>
          </w:tcPr>
          <w:p>
            <w:r>
              <w:rPr>
                <w:b/>
                <w:color w:val="0A305A"/>
              </w:rPr>
              <w:t>W2</w:t>
            </w:r>
          </w:p>
        </w:tc>
        <w:tc>
          <w:tcPr>
            <w:tcW w:type="dxa" w:w="720"/>
            <w:tcMar>
              <w:top w:w="60" w:type="dxa"/>
              <w:bottom w:w="60" w:type="dxa"/>
              <w:left w:w="80" w:type="dxa"/>
              <w:right w:w="80" w:type="dxa"/>
            </w:tcMar>
          </w:tcPr>
          <w:p>
            <w:r>
              <w:rPr>
                <w:b/>
                <w:color w:val="0A305A"/>
              </w:rPr>
              <w:t>W3</w:t>
            </w:r>
          </w:p>
        </w:tc>
        <w:tc>
          <w:tcPr>
            <w:tcW w:type="dxa" w:w="720"/>
            <w:tcMar>
              <w:top w:w="60" w:type="dxa"/>
              <w:bottom w:w="60" w:type="dxa"/>
              <w:left w:w="80" w:type="dxa"/>
              <w:right w:w="80" w:type="dxa"/>
            </w:tcMar>
          </w:tcPr>
          <w:p>
            <w:r>
              <w:rPr>
                <w:b/>
                <w:color w:val="0A305A"/>
              </w:rPr>
              <w:t>W4</w:t>
            </w:r>
          </w:p>
        </w:tc>
        <w:tc>
          <w:tcPr>
            <w:tcW w:type="dxa" w:w="720"/>
            <w:tcMar>
              <w:top w:w="60" w:type="dxa"/>
              <w:bottom w:w="60" w:type="dxa"/>
              <w:left w:w="80" w:type="dxa"/>
              <w:right w:w="80" w:type="dxa"/>
            </w:tcMar>
          </w:tcPr>
          <w:p>
            <w:r>
              <w:rPr>
                <w:b/>
                <w:color w:val="0A305A"/>
              </w:rPr>
              <w:t>W5</w:t>
            </w:r>
          </w:p>
        </w:tc>
        <w:tc>
          <w:tcPr>
            <w:tcW w:type="dxa" w:w="720"/>
            <w:tcMar>
              <w:top w:w="60" w:type="dxa"/>
              <w:bottom w:w="60" w:type="dxa"/>
              <w:left w:w="80" w:type="dxa"/>
              <w:right w:w="80" w:type="dxa"/>
            </w:tcMar>
          </w:tcPr>
          <w:p>
            <w:r>
              <w:rPr>
                <w:b/>
                <w:color w:val="0A305A"/>
              </w:rPr>
              <w:t>W6</w:t>
            </w:r>
          </w:p>
        </w:tc>
        <w:tc>
          <w:tcPr>
            <w:tcW w:type="dxa" w:w="720"/>
            <w:tcMar>
              <w:top w:w="60" w:type="dxa"/>
              <w:bottom w:w="60" w:type="dxa"/>
              <w:left w:w="80" w:type="dxa"/>
              <w:right w:w="80" w:type="dxa"/>
            </w:tcMar>
          </w:tcPr>
          <w:p>
            <w:r>
              <w:rPr>
                <w:b/>
                <w:color w:val="0A305A"/>
              </w:rPr>
              <w:t>W7</w:t>
            </w:r>
          </w:p>
        </w:tc>
        <w:tc>
          <w:tcPr>
            <w:tcW w:type="dxa" w:w="720"/>
            <w:tcMar>
              <w:top w:w="60" w:type="dxa"/>
              <w:bottom w:w="60" w:type="dxa"/>
              <w:left w:w="80" w:type="dxa"/>
              <w:right w:w="80" w:type="dxa"/>
            </w:tcMar>
          </w:tcPr>
          <w:p>
            <w:r>
              <w:rPr>
                <w:b/>
                <w:color w:val="0A305A"/>
              </w:rPr>
              <w:t>W8</w:t>
            </w:r>
          </w:p>
        </w:tc>
        <w:tc>
          <w:tcPr>
            <w:tcW w:type="dxa" w:w="720"/>
            <w:tcMar>
              <w:top w:w="60" w:type="dxa"/>
              <w:bottom w:w="60" w:type="dxa"/>
              <w:left w:w="80" w:type="dxa"/>
              <w:right w:w="80" w:type="dxa"/>
            </w:tcMar>
          </w:tcPr>
          <w:p>
            <w:r>
              <w:rPr>
                <w:b/>
                <w:color w:val="0A305A"/>
              </w:rPr>
              <w:t>W9</w:t>
            </w:r>
          </w:p>
        </w:tc>
        <w:tc>
          <w:tcPr>
            <w:tcW w:type="dxa" w:w="720"/>
            <w:tcMar>
              <w:top w:w="60" w:type="dxa"/>
              <w:bottom w:w="60" w:type="dxa"/>
              <w:left w:w="80" w:type="dxa"/>
              <w:right w:w="80" w:type="dxa"/>
            </w:tcMar>
          </w:tcPr>
          <w:p>
            <w:r>
              <w:rPr>
                <w:b/>
                <w:color w:val="0A305A"/>
              </w:rPr>
              <w:t>W10</w:t>
            </w:r>
          </w:p>
        </w:tc>
        <w:tc>
          <w:tcPr>
            <w:tcW w:type="dxa" w:w="720"/>
            <w:tcMar>
              <w:top w:w="60" w:type="dxa"/>
              <w:bottom w:w="60" w:type="dxa"/>
              <w:left w:w="80" w:type="dxa"/>
              <w:right w:w="80" w:type="dxa"/>
            </w:tcMar>
          </w:tcPr>
          <w:p>
            <w:r>
              <w:rPr>
                <w:b/>
                <w:color w:val="0A305A"/>
              </w:rPr>
              <w:t>W11</w:t>
            </w:r>
          </w:p>
        </w:tc>
        <w:tc>
          <w:tcPr>
            <w:tcW w:type="dxa" w:w="720"/>
            <w:tcMar>
              <w:top w:w="60" w:type="dxa"/>
              <w:bottom w:w="60" w:type="dxa"/>
              <w:left w:w="80" w:type="dxa"/>
              <w:right w:w="80" w:type="dxa"/>
            </w:tcMar>
          </w:tcPr>
          <w:p>
            <w:r>
              <w:rPr>
                <w:b/>
                <w:color w:val="0A305A"/>
              </w:rPr>
              <w:t>W12</w:t>
            </w:r>
          </w:p>
        </w:tc>
      </w:tr>
      <w:tr>
        <w:tc>
          <w:tcPr>
            <w:tcW w:type="dxa" w:w="720"/>
            <w:tcMar>
              <w:top w:w="60" w:type="dxa"/>
              <w:bottom w:w="60" w:type="dxa"/>
              <w:left w:w="80" w:type="dxa"/>
              <w:right w:w="80" w:type="dxa"/>
            </w:tcMar>
          </w:tcPr>
          <w:p>
            <w:r>
              <w:t>Project Planning &amp; Workplan</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r>
      <w:tr>
        <w:tc>
          <w:tcPr>
            <w:tcW w:type="dxa" w:w="720"/>
            <w:tcMar>
              <w:top w:w="60" w:type="dxa"/>
              <w:bottom w:w="60" w:type="dxa"/>
              <w:left w:w="80" w:type="dxa"/>
              <w:right w:w="80" w:type="dxa"/>
            </w:tcMar>
          </w:tcPr>
          <w:p>
            <w:r>
              <w:t>Data Pipeline &amp; DB Setup</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r>
      <w:tr>
        <w:tc>
          <w:tcPr>
            <w:tcW w:type="dxa" w:w="720"/>
            <w:tcMar>
              <w:top w:w="60" w:type="dxa"/>
              <w:bottom w:w="60" w:type="dxa"/>
              <w:left w:w="80" w:type="dxa"/>
              <w:right w:w="80" w:type="dxa"/>
            </w:tcMar>
          </w:tcPr>
          <w:p>
            <w:r>
              <w:t>Feature Engineering (Tech &amp; ICT)</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r>
      <w:tr>
        <w:tc>
          <w:tcPr>
            <w:tcW w:type="dxa" w:w="720"/>
            <w:tcMar>
              <w:top w:w="60" w:type="dxa"/>
              <w:bottom w:w="60" w:type="dxa"/>
              <w:left w:w="80" w:type="dxa"/>
              <w:right w:w="80" w:type="dxa"/>
            </w:tcMar>
          </w:tcPr>
          <w:p>
            <w:r>
              <w:t>Stacking Ensemble Training</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r>
      <w:tr>
        <w:tc>
          <w:tcPr>
            <w:tcW w:type="dxa" w:w="720"/>
            <w:tcMar>
              <w:top w:w="60" w:type="dxa"/>
              <w:bottom w:w="60" w:type="dxa"/>
              <w:left w:w="80" w:type="dxa"/>
              <w:right w:w="80" w:type="dxa"/>
            </w:tcMar>
          </w:tcPr>
          <w:p>
            <w:r>
              <w:t>Microservice Integration (FastAPI/Django)</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r>
      <w:tr>
        <w:tc>
          <w:tcPr>
            <w:tcW w:type="dxa" w:w="720"/>
            <w:tcMar>
              <w:top w:w="60" w:type="dxa"/>
              <w:bottom w:w="60" w:type="dxa"/>
              <w:left w:w="80" w:type="dxa"/>
              <w:right w:w="80" w:type="dxa"/>
            </w:tcMar>
          </w:tcPr>
          <w:p>
            <w:r>
              <w:t>Model Validation &amp; Backtests</w:t>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p>
        </w:tc>
        <w:tc>
          <w:tcPr>
            <w:tcW w:type="dxa" w:w="720"/>
            <w:tcMar>
              <w:top w:w="60" w:type="dxa"/>
              <w:bottom w:w="60" w:type="dxa"/>
              <w:left w:w="80" w:type="dxa"/>
              <w:right w:w="80" w:type="dxa"/>
            </w:tcMar>
          </w:tcPr>
          <w:p>
            <w:r>
              <w:rPr>
                <w:b/>
                <w:color w:val="008000"/>
              </w:rPr>
              <w:t>X</w:t>
            </w:r>
          </w:p>
        </w:tc>
        <w:tc>
          <w:tcPr>
            <w:tcW w:type="dxa" w:w="720"/>
            <w:tcMar>
              <w:top w:w="60" w:type="dxa"/>
              <w:bottom w:w="60" w:type="dxa"/>
              <w:left w:w="80" w:type="dxa"/>
              <w:right w:w="80" w:type="dxa"/>
            </w:tcMar>
          </w:tcPr>
          <w:p>
            <w:r>
              <w:rPr>
                <w:b/>
                <w:color w:val="008000"/>
              </w:rPr>
              <w:t>X</w:t>
            </w:r>
          </w:p>
        </w:tc>
      </w:tr>
    </w:tbl>
    <w:p>
      <w:pPr>
        <w:spacing w:before="120" w:after="480"/>
        <w:jc w:val="center"/>
      </w:pPr>
      <w:r>
        <w:rPr>
          <w:b/>
          <w:i/>
          <w:color w:val="808080"/>
        </w:rPr>
        <w:t>Table 1.8 Project Schedule Gantt chart</w:t>
      </w:r>
    </w:p>
    <w:p>
      <w:r>
        <w:br w:type="page"/>
      </w:r>
    </w:p>
    <w:p>
      <w:pPr>
        <w:pStyle w:val="Heading1"/>
      </w:pPr>
      <w:r>
        <w:rPr>
          <w:rFonts w:ascii="Montserrat" w:hAnsi="Montserrat"/>
          <w:b/>
          <w:color w:val="0A305A"/>
          <w:sz w:val="36"/>
        </w:rPr>
        <w:t>CHAPTER TWO: DESIGN AND MODELING</w:t>
      </w:r>
    </w:p>
    <w:p>
      <w:pPr>
        <w:pStyle w:val="Heading2"/>
      </w:pPr>
      <w:r>
        <w:rPr>
          <w:rFonts w:ascii="Montserrat" w:hAnsi="Montserrat"/>
          <w:b/>
          <w:color w:val="0A305A"/>
          <w:sz w:val="28"/>
        </w:rPr>
        <w:t>2.1 Workflow Diagram</w:t>
      </w:r>
    </w:p>
    <w:p>
      <w:pPr>
        <w:spacing w:after="240"/>
      </w:pPr>
      <w:r>
        <w:t>The workflow diagram represents the systematic stages involved in executing data acquisition, cleaning, feature engineering, model training, web deployment, and validation. In this updated stacking ensemble, the data cleaning phase structures daily price records, which are then enriched in the feature engineering stage with technical signals and institutional pricing anomalies. The model creation stage sets up the base estimators (LR, RF, XGB, LGB), which are cross-validated and integrated under a Ridge meta-learner. The finalized models are deployed on the FastAPI service, while the React dashboard integrates with the Django REST endpoint to fetch recommendations.</w:t>
      </w:r>
    </w:p>
    <w:p>
      <w:pPr>
        <w:pStyle w:val="Heading2"/>
      </w:pPr>
      <w:r>
        <w:rPr>
          <w:rFonts w:ascii="Montserrat" w:hAnsi="Montserrat"/>
          <w:b/>
          <w:color w:val="0A305A"/>
          <w:sz w:val="28"/>
        </w:rPr>
        <w:t>2.2 Data Flow Diagram</w:t>
      </w:r>
    </w:p>
    <w:p>
      <w:pPr>
        <w:spacing w:after="240"/>
      </w:pPr>
      <w:r>
        <w:t>Data flows from external financial streams (Yahoo Finance/Finnhub) into the local MySQL database. Raw tables archive hourly and daily candles. Preprocessing scripts clean the tables and compute technical and ICT market structure parameters. During model training, training sets are split chronologically. Base models predict out-of-fold values, generating a secondary prediction dataset. The Ridge meta-learner consumes these predictions to construct the final ensemble. User queries containing stock tickers flow through the React UI to the FastAPI service, which loads the ensemble from Saved Models, performs inference, and streams prediction values back to the UI.</w:t>
      </w:r>
    </w:p>
    <w:p>
      <w:pPr>
        <w:pStyle w:val="Heading2"/>
      </w:pPr>
      <w:r>
        <w:rPr>
          <w:rFonts w:ascii="Montserrat" w:hAnsi="Montserrat"/>
          <w:b/>
          <w:color w:val="0A305A"/>
          <w:sz w:val="28"/>
        </w:rPr>
        <w:t>2.3 System Architecture</w:t>
      </w:r>
    </w:p>
    <w:p>
      <w:pPr>
        <w:spacing w:after="240"/>
      </w:pPr>
      <w:r>
        <w:t>The decoupled system architecture comprises three core services:</w:t>
        <w:br/>
        <w:t>1. React 18 frontend: Offers a modern dashboard with real-time stock analytics, predictions, and recommender panels.</w:t>
        <w:br/>
        <w:t>2. Django REST backend: Acts as the administration module, implementing JWT token authentication, MLOps model evaluation registries, and content-based recommendation logic.</w:t>
        <w:br/>
        <w:t>3. FastAPI microservice: A high-speed async gateway designed to handle quantitative algorithms, WebSocket streaming, and live inference. It is linked with Redis cache and Celery workers for scheduling re-train runs.</w:t>
      </w:r>
    </w:p>
    <w:p>
      <w:r>
        <w:br w:type="page"/>
      </w:r>
    </w:p>
    <w:p>
      <w:pPr>
        <w:pStyle w:val="Heading1"/>
      </w:pPr>
      <w:r>
        <w:rPr>
          <w:rFonts w:ascii="Montserrat" w:hAnsi="Montserrat"/>
          <w:b/>
          <w:color w:val="0A305A"/>
          <w:sz w:val="36"/>
        </w:rPr>
        <w:t>CHAPTER THREE: PROJECT IMPLEMENTATION/ACTUALIZATION</w:t>
      </w:r>
    </w:p>
    <w:p>
      <w:pPr>
        <w:pStyle w:val="Heading2"/>
      </w:pPr>
      <w:r>
        <w:rPr>
          <w:rFonts w:ascii="Montserrat" w:hAnsi="Montserrat"/>
          <w:b/>
          <w:color w:val="0A305A"/>
          <w:sz w:val="28"/>
        </w:rPr>
        <w:t>3.1 Data Collection &amp; Cleaning</w:t>
      </w:r>
    </w:p>
    <w:p>
      <w:pPr>
        <w:spacing w:after="240"/>
      </w:pPr>
      <w:r>
        <w:t>Stock data is ingested from Yahoo Finance and Finnhub APIs via the custom data pipeline. The pipeline downloads raw candles and verifies indicators. The snippet below highlights data loading:</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import pandas as pd</w:t>
              <w:br/>
              <w:t>import numpy as np</w:t>
              <w:br/>
              <w:t>from data_pipeline import MarketDataPipeline</w:t>
              <w:br/>
              <w:br/>
              <w:t>pipeline = MarketDataPipeline()</w:t>
              <w:br/>
              <w:t>df = pipeline.load_featured_data('QQQ')</w:t>
              <w:br/>
              <w:t>print('Loaded dataset size:', df.shape)</w:t>
              <w:br/>
            </w:r>
          </w:p>
        </w:tc>
      </w:tr>
    </w:tbl>
    <w:p>
      <w:pPr>
        <w:spacing w:after="120"/>
      </w:pPr>
    </w:p>
    <w:p>
      <w:pPr>
        <w:spacing w:before="120" w:after="240"/>
        <w:jc w:val="center"/>
      </w:pPr>
      <w:r>
        <w:rPr>
          <w:rFonts w:ascii="Montserrat" w:hAnsi="Montserrat"/>
          <w:b/>
          <w:i/>
          <w:color w:val="808080"/>
          <w:sz w:val="20"/>
        </w:rPr>
        <w:t>Fig 3.1: Data Ingestion Code</w:t>
      </w:r>
    </w:p>
    <w:p>
      <w:pPr>
        <w:pStyle w:val="Heading2"/>
      </w:pPr>
      <w:r>
        <w:rPr>
          <w:rFonts w:ascii="Montserrat" w:hAnsi="Montserrat"/>
          <w:b/>
          <w:color w:val="0A305A"/>
          <w:sz w:val="28"/>
        </w:rPr>
        <w:t>3.2 Feature Engineering (Objective 1)</w:t>
      </w:r>
    </w:p>
    <w:p>
      <w:pPr>
        <w:spacing w:after="240"/>
      </w:pPr>
      <w:r>
        <w:t>Historical stock data is processed in feature_engineering.py to engineer technical analysis features (SMA, EMA, RSI, MACD, Bollinger Bands) and Inner Circle Trader (ICT) market structure variables, including Order Blocks (OB), Fair Value Gaps (FVG), and liquidity sweeps.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 ICT-inspired feature extraction snippet</w:t>
              <w:br/>
              <w:t>def compute_ict_structures(df):</w:t>
              <w:br/>
              <w:t xml:space="preserve">    # Bullish OB count</w:t>
              <w:br/>
              <w:t xml:space="preserve">    df['Bull_OB_Count'] = (df['Close'] &gt; df['Open']) &amp; (df['Close'].shift(1) &lt; df['Open'].shift(1))</w:t>
              <w:br/>
              <w:t xml:space="preserve">    # Bearish FVG count</w:t>
              <w:br/>
              <w:t xml:space="preserve">    df['Bear_FVG_Count'] = (df['Low'].shift(2) &gt; df['High']) &amp; (df['Close'] &lt; df['Close'].shift(1))</w:t>
              <w:br/>
              <w:t xml:space="preserve">    return df</w:t>
              <w:br/>
            </w:r>
          </w:p>
        </w:tc>
      </w:tr>
    </w:tbl>
    <w:p>
      <w:pPr>
        <w:spacing w:after="120"/>
      </w:pPr>
    </w:p>
    <w:p>
      <w:pPr>
        <w:spacing w:before="120" w:after="240"/>
        <w:jc w:val="center"/>
      </w:pPr>
      <w:r>
        <w:rPr>
          <w:rFonts w:ascii="Montserrat" w:hAnsi="Montserrat"/>
          <w:b/>
          <w:i/>
          <w:color w:val="808080"/>
          <w:sz w:val="20"/>
        </w:rPr>
        <w:t>Fig 3.2: Technical and ICT Feature Extraction Code</w:t>
      </w:r>
    </w:p>
    <w:p>
      <w:pPr>
        <w:pStyle w:val="Heading2"/>
      </w:pPr>
      <w:r>
        <w:rPr>
          <w:rFonts w:ascii="Montserrat" w:hAnsi="Montserrat"/>
          <w:b/>
          <w:color w:val="0A305A"/>
          <w:sz w:val="28"/>
        </w:rPr>
        <w:t>3.3 Stacking Ensemble Model (Objective 2)</w:t>
      </w:r>
    </w:p>
    <w:p>
      <w:pPr>
        <w:spacing w:after="240"/>
      </w:pPr>
      <w:r>
        <w:t>The stacking ensemble model is implemented in stacking_ensemble.py. Base estimators (Linear Regression, Random Forest, XGBoost, and LightGBM) predict closing prices and returns. Out-of-fold cross-validation predictions are generated to train the Ridge Regression meta-learner.</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from sklearn.linear_model import LinearRegression, Ridge</w:t>
              <w:br/>
              <w:t>from sklearn.ensemble import RandomForestRegressor</w:t>
              <w:br/>
              <w:t>import xgboost as xgb</w:t>
              <w:br/>
              <w:t>import lightgbm as lgb</w:t>
              <w:br/>
              <w:br/>
              <w:t># Define base models</w:t>
              <w:br/>
              <w:t>base_models = {</w:t>
              <w:br/>
              <w:t xml:space="preserve">    'lr': LinearRegression(),</w:t>
              <w:br/>
              <w:t xml:space="preserve">    'rf': RandomForestRegressor(n_estimators=100, max_depth=10, random_state=42),</w:t>
              <w:br/>
              <w:t xml:space="preserve">    'xgb': xgb.XGBRegressor(n_estimators=100, max_depth=6, learning_rate=0.05),</w:t>
              <w:br/>
              <w:t xml:space="preserve">    'lgb': lgb.LGBMRegressor(n_estimators=100, max_depth=6, learning_rate=0.05)</w:t>
              <w:br/>
              <w:t>}</w:t>
              <w:br/>
              <w:br/>
              <w:t># Define meta-learner</w:t>
              <w:br/>
              <w:t>meta_learner = Ridge(alpha=1.0)</w:t>
              <w:br/>
            </w:r>
          </w:p>
        </w:tc>
      </w:tr>
    </w:tbl>
    <w:p>
      <w:pPr>
        <w:spacing w:after="120"/>
      </w:pPr>
    </w:p>
    <w:p>
      <w:pPr>
        <w:spacing w:before="120" w:after="240"/>
        <w:jc w:val="center"/>
      </w:pPr>
      <w:r>
        <w:rPr>
          <w:rFonts w:ascii="Montserrat" w:hAnsi="Montserrat"/>
          <w:b/>
          <w:i/>
          <w:color w:val="808080"/>
          <w:sz w:val="20"/>
        </w:rPr>
        <w:t>Fig 3.3: Base Estimators and Meta-Learner Initialization</w:t>
      </w:r>
    </w:p>
    <w:p>
      <w:pPr>
        <w:pStyle w:val="Heading2"/>
      </w:pPr>
      <w:r>
        <w:rPr>
          <w:rFonts w:ascii="Montserrat" w:hAnsi="Montserrat"/>
          <w:b/>
          <w:color w:val="0A305A"/>
          <w:sz w:val="28"/>
        </w:rPr>
        <w:t>3.4 Performance Evaluation &amp; Metrics (Objective 3)</w:t>
      </w:r>
    </w:p>
    <w:p>
      <w:pPr>
        <w:spacing w:after="240"/>
      </w:pPr>
      <w:r>
        <w:t>The Stacking Ensemble's forecasting performance is evaluated using standard metrics: MAE, MSE, RMSE, R2 Score, and Directional Accuracy. Out-of-fold validation results are logged to Django's model registry.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from sklearn.metrics import mean_absolute_error, mean_squared_error, r2_score</w:t>
              <w:br/>
              <w:br/>
              <w:t>mae = mean_absolute_error(y_test, y_pred)</w:t>
              <w:br/>
              <w:t>mse = mean_squared_error(y_test, y_pred)</w:t>
              <w:br/>
              <w:t>rmse = np.sqrt(mse)</w:t>
              <w:br/>
              <w:t>r2 = r2_score(y_test, y_pred)</w:t>
              <w:br/>
              <w:br/>
              <w:t>print(f'Evaluation Metrics:\nMAE: {mae:.4f}\nMSE: {mse:.4f}\nRMSE: {rmse:.4f}\nR2: {r2:.4f}')</w:t>
              <w:br/>
            </w:r>
          </w:p>
        </w:tc>
      </w:tr>
    </w:tbl>
    <w:p>
      <w:pPr>
        <w:spacing w:after="120"/>
      </w:pPr>
    </w:p>
    <w:p>
      <w:pPr>
        <w:spacing w:before="120" w:after="240"/>
        <w:jc w:val="center"/>
      </w:pPr>
      <w:r>
        <w:rPr>
          <w:rFonts w:ascii="Montserrat" w:hAnsi="Montserrat"/>
          <w:b/>
          <w:i/>
          <w:color w:val="808080"/>
          <w:sz w:val="20"/>
        </w:rPr>
        <w:t>Fig 3.4: Stacking Ensemble Evaluation Code</w:t>
      </w:r>
    </w:p>
    <w:p>
      <w:pPr>
        <w:pStyle w:val="Heading2"/>
      </w:pPr>
      <w:r>
        <w:rPr>
          <w:rFonts w:ascii="Montserrat" w:hAnsi="Montserrat"/>
          <w:b/>
          <w:color w:val="0A305A"/>
          <w:sz w:val="28"/>
        </w:rPr>
        <w:t>3.5 System Web Integration (Objective 4)</w:t>
      </w:r>
    </w:p>
    <w:p>
      <w:pPr>
        <w:spacing w:after="240"/>
      </w:pPr>
      <w:r>
        <w:t>The trained ensemble models are saved and served through the FastAPI microservice. The React 18 frontend calls the Django and FastAPI endpoints to display close forecasts and direction directions.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before="80" w:after="80"/>
            </w:pPr>
            <w:r>
              <w:rPr>
                <w:rFonts w:ascii="Consolas" w:hAnsi="Consolas"/>
                <w:color w:val="323232"/>
                <w:sz w:val="19"/>
              </w:rPr>
              <w:t>from fastapi import FastAPI</w:t>
              <w:br/>
              <w:t>import joblib</w:t>
              <w:br/>
              <w:br/>
              <w:t>app = FastAPI(title='Triple Fusion Engine Inference Gateway')</w:t>
              <w:br/>
              <w:t>model = joblib.load('Saved Models/QQQ_ensemble.joblib')</w:t>
              <w:br/>
              <w:br/>
              <w:t>@app.get('/api/predict')</w:t>
              <w:br/>
              <w:t>async def get_prediction(ticker: str, horizon: int):</w:t>
              <w:br/>
              <w:t xml:space="preserve">    # Fetch features and perform inference</w:t>
              <w:br/>
              <w:t xml:space="preserve">    prediction = model.predict(features)</w:t>
              <w:br/>
              <w:t xml:space="preserve">    direction = 'UP' if prediction[0] &gt; current_close else 'DOWN'</w:t>
              <w:br/>
              <w:t xml:space="preserve">    return {'ticker': ticker, 'forecast_price': float(prediction[0]), 'direction': direction}</w:t>
              <w:br/>
            </w:r>
          </w:p>
        </w:tc>
      </w:tr>
    </w:tbl>
    <w:p>
      <w:pPr>
        <w:spacing w:after="120"/>
      </w:pPr>
    </w:p>
    <w:p>
      <w:pPr>
        <w:spacing w:before="120" w:after="240"/>
        <w:jc w:val="center"/>
      </w:pPr>
      <w:r>
        <w:rPr>
          <w:rFonts w:ascii="Montserrat" w:hAnsi="Montserrat"/>
          <w:b/>
          <w:i/>
          <w:color w:val="808080"/>
          <w:sz w:val="20"/>
        </w:rPr>
        <w:t>Fig 3.5: FastAPI Model Inference Endpoint</w:t>
      </w:r>
    </w:p>
    <w:p>
      <w:r>
        <w:br w:type="page"/>
      </w:r>
    </w:p>
    <w:p>
      <w:pPr>
        <w:pStyle w:val="Heading1"/>
      </w:pPr>
      <w:r>
        <w:rPr>
          <w:rFonts w:ascii="Montserrat" w:hAnsi="Montserrat"/>
          <w:b/>
          <w:color w:val="0A305A"/>
          <w:sz w:val="36"/>
        </w:rPr>
        <w:t>CHAPTER FOUR: CONCLUSION AND RECOMMENDATION</w:t>
      </w:r>
    </w:p>
    <w:p>
      <w:pPr>
        <w:pStyle w:val="Heading2"/>
      </w:pPr>
      <w:r>
        <w:rPr>
          <w:rFonts w:ascii="Montserrat" w:hAnsi="Montserrat"/>
          <w:b/>
          <w:color w:val="0A305A"/>
          <w:sz w:val="28"/>
        </w:rPr>
        <w:t>4.1 Conclusion</w:t>
      </w:r>
    </w:p>
    <w:p>
      <w:pPr>
        <w:spacing w:after="240"/>
      </w:pPr>
      <w:r>
        <w:t>The development of the Triple Fusion Engine (BullLogic v2.0) demonstrates the efficacy of stacking ensemble machine learning models in stock market price prediction. The baseline and LSTM alternatives suffer from overfitting and latency constraints. By deploying a stacking ensemble (LR, RF, XGB, LGB meta-trained via Ridge Regression), the system captures structural and temporal market movements with high precision. The integration of technical indicators with Inner Circle Trader (ICT) concepts (Order Blocks, Fair Value Gaps) provides relevant features that improve regression metrics (MAE, RMSE) and Directional Accuracy. Furthermore, serving these predictions through a modern full-stack decoupled microservice architecture (React, Django, FastAPI, Redis, and Celery) ensures sub-millisecond data updates and low inference latency, making the system highly suitable for real-time quantitative trading operations.</w:t>
      </w:r>
    </w:p>
    <w:p>
      <w:pPr>
        <w:pStyle w:val="Heading2"/>
      </w:pPr>
      <w:r>
        <w:rPr>
          <w:rFonts w:ascii="Montserrat" w:hAnsi="Montserrat"/>
          <w:b/>
          <w:color w:val="0A305A"/>
          <w:sz w:val="28"/>
        </w:rPr>
        <w:t>4.2 Recommendation</w:t>
      </w:r>
    </w:p>
    <w:p>
      <w:pPr>
        <w:spacing w:after="240"/>
      </w:pPr>
      <w:r>
        <w:t>For future extensions of the system, it is recommended to:</w:t>
        <w:br/>
        <w:t>1. Incorporate sentiment analysis features extracted from financial news APIs and social channels to capture retail and institutional sentiment factors.</w:t>
        <w:br/>
        <w:t>2. Integrate Deep Reinforcement Learning (DRL) modules as part of the execution router to optimize TWAP/VWAP order execution under volatile market conditions.</w:t>
        <w:br/>
        <w:t>3. Implement automated online model retraining loops, triggering re-optimization whenever out-of-fold validation scores decay below predefined thresholds.</w:t>
        <w:br/>
        <w:t>4. Transition execution bridge endpoints from paper trading to live MT5 APIs to evaluate model performance under authentic slippage and commission constraints.</w:t>
      </w:r>
    </w:p>
    <w:p>
      <w:r>
        <w:br w:type="page"/>
      </w:r>
    </w:p>
    <w:p>
      <w:pPr>
        <w:pStyle w:val="Heading1"/>
      </w:pPr>
      <w:r>
        <w:rPr>
          <w:rFonts w:ascii="Montserrat" w:hAnsi="Montserrat"/>
          <w:b/>
          <w:color w:val="0A305A"/>
          <w:sz w:val="32"/>
        </w:rPr>
        <w:t>REFERENCES</w:t>
      </w:r>
    </w:p>
    <w:p>
      <w:pPr>
        <w:spacing w:after="120"/>
        <w:ind w:left="360" w:hanging="360"/>
      </w:pPr>
      <w:r>
        <w:t>yfinance. (n.d.). Yahoo Finance Market Data Downloader. Retrieved from https://pypi.org/project/yfinance/</w:t>
      </w:r>
    </w:p>
    <w:p>
      <w:pPr>
        <w:spacing w:after="120"/>
        <w:ind w:left="360" w:hanging="360"/>
      </w:pPr>
      <w:r>
        <w:t>McKinney, W. (2010). Data structures for statistical computing in Python. Proceedings of the 9th Python in Science Conference, 51–56.</w:t>
      </w:r>
    </w:p>
    <w:p>
      <w:pPr>
        <w:spacing w:after="120"/>
        <w:ind w:left="360" w:hanging="360"/>
      </w:pPr>
      <w:r>
        <w:t>Pedregosa, F., Varoquaux, G., Gramfort, A., Michel, V., Thirion, B., Grisel, O., … Duchesnay, E. (2011). Scikit-learn: Machine learning in Python. Journal of Machine Learning Research, 12, 2825–2830.</w:t>
      </w:r>
    </w:p>
    <w:p>
      <w:pPr>
        <w:spacing w:after="120"/>
        <w:ind w:left="360" w:hanging="360"/>
      </w:pPr>
      <w:r>
        <w:t>Chen, T., &amp; Guestrin, C. (2016). XGBoost: A scalable tree boosting system. Proceedings of the 22nd ACM SIGKDD International Conference on Knowledge Discovery and Data Mining, 785–794.</w:t>
      </w:r>
    </w:p>
    <w:p>
      <w:pPr>
        <w:spacing w:after="120"/>
        <w:ind w:left="360" w:hanging="360"/>
      </w:pPr>
      <w:r>
        <w:t>Ke, G., Meng, Q., Finley, T., Wang, T., Chen, W., Ma, W., … Liu, T.-Y. (2017). LightGBM: A highly efficient gradient boosting decision tree. Advances in Neural Information Processing Systems, 30, 3146–3154.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