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964"/>
          <w:sz w:val="32"/>
        </w:rPr>
        <w:t>CHAPTER TWO: DESIGN AND MODELING</w:t>
      </w:r>
    </w:p>
    <w:p/>
    <w:p>
      <w:pPr>
        <w:spacing w:before="160" w:after="80"/>
      </w:pPr>
      <w:r>
        <w:rPr>
          <w:b/>
          <w:sz w:val="26"/>
        </w:rPr>
        <w:t>2.1 Introduction to Modelling</w:t>
      </w:r>
    </w:p>
    <w:p>
      <w:pPr>
        <w:spacing w:after="120" w:line="360" w:lineRule="exact"/>
        <w:jc w:val="both"/>
      </w:pPr>
      <w:r>
        <w:rPr>
          <w:sz w:val="24"/>
        </w:rPr>
        <w:t>This chapter presents the system designs and models developed to visualize the Stock Market Price Prediction System before and during implementation. The diagrams and models illustrate how the system functions, how users interact with it, and how data flows within the system. Modelling the system helped clarify requirements, identify potential challenges early, and ensure all components are well organized. This approach reduced development errors and provided a clear blueprint that guided implementation, resulting in an efficient, reliable, and well-structured system.</w:t>
      </w:r>
    </w:p>
    <w:p>
      <w:pPr>
        <w:spacing w:after="120" w:line="360" w:lineRule="exact"/>
        <w:jc w:val="both"/>
      </w:pPr>
      <w:r>
        <w:rPr>
          <w:sz w:val="24"/>
        </w:rPr>
        <w:t>The Stock Market Price Prediction System (ML-QTS) is a Machine Learning-based quantitative trading platform that predicts the next-day or next-hour closing price for any listed stock ticker using Linear Regression (LR) and Random Forest (RF) models, with LSTM support for AAPL. It is built with Flask, deployed on Render, and trained on historical OHLCV data enriched with ICT concepts — Order Blocks, Fair Value Gaps, Market Structure, Premium/Discount zones, Kill Zones, and Liquidity Sweeps — alongside standard technical indicators. The system supports nine tickers (AAPL, QQQ, NDX, TSLA, MSFT, GOOGL, NVDA, META, AMZN) across two intervals: Daily (1d, 45 features) and Intraday 1-Hour (1h, 55 features).</w:t>
      </w:r>
    </w:p>
    <w:p>
      <w:pPr>
        <w:spacing w:before="160" w:after="80"/>
      </w:pPr>
      <w:r>
        <w:rPr>
          <w:b/>
          <w:sz w:val="26"/>
        </w:rPr>
        <w:t>2.2 User Interface Models</w:t>
      </w:r>
    </w:p>
    <w:p>
      <w:pPr>
        <w:spacing w:after="120" w:line="360" w:lineRule="exact"/>
        <w:jc w:val="both"/>
      </w:pPr>
      <w:r>
        <w:rPr>
          <w:sz w:val="24"/>
        </w:rPr>
        <w:t>The user interface was designed with a dark financial theme — black background with an orange accent (#FF6B35) — to align with professional trading terminals. The screenshots below were taken from the live running application.</w:t>
      </w:r>
    </w:p>
    <w:p>
      <w:pPr>
        <w:spacing w:before="160" w:after="80"/>
      </w:pPr>
      <w:r>
        <w:rPr>
          <w:b/>
          <w:sz w:val="24"/>
        </w:rPr>
        <w:t>2.2.1 Login Page</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fig_2_2_1_login.png"/>
                    <pic:cNvPicPr/>
                  </pic:nvPicPr>
                  <pic:blipFill>
                    <a:blip r:embed="rId9"/>
                    <a:stretch>
                      <a:fillRect/>
                    </a:stretch>
                  </pic:blipFill>
                  <pic:spPr>
                    <a:xfrm>
                      <a:off x="0" y="0"/>
                      <a:ext cx="5029200" cy="3143250"/>
                    </a:xfrm>
                    <a:prstGeom prst="rect"/>
                  </pic:spPr>
                </pic:pic>
              </a:graphicData>
            </a:graphic>
          </wp:inline>
        </w:drawing>
      </w:r>
    </w:p>
    <w:p>
      <w:pPr>
        <w:spacing w:after="240"/>
        <w:jc w:val="center"/>
      </w:pPr>
      <w:r>
        <w:rPr>
          <w:i/>
          <w:sz w:val="20"/>
        </w:rPr>
        <w:t>Figure 2.2.1: Login page</w:t>
      </w:r>
    </w:p>
    <w:p>
      <w:pPr>
        <w:spacing w:after="120" w:line="360" w:lineRule="exact"/>
        <w:jc w:val="both"/>
      </w:pPr>
      <w:r>
        <w:rPr>
          <w:sz w:val="24"/>
        </w:rPr>
        <w:t>The login page provides a secure interface where registered users enter their username or email and password to access the dashboard. Credentials are verified against the SQLite instance/users.db via Flask-SQLAlchemy. Passwords are stored as Werkzeug bcrypt hashes — plaintext is never persisted. All prediction routes are protected by @login_required.</w:t>
      </w:r>
    </w:p>
    <w:p>
      <w:pPr>
        <w:spacing w:before="160" w:after="80"/>
      </w:pPr>
      <w:r>
        <w:rPr>
          <w:b/>
          <w:sz w:val="24"/>
        </w:rPr>
        <w:t>2.2.2 Registration Page</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fig_2_2_2_register.png"/>
                    <pic:cNvPicPr/>
                  </pic:nvPicPr>
                  <pic:blipFill>
                    <a:blip r:embed="rId10"/>
                    <a:stretch>
                      <a:fillRect/>
                    </a:stretch>
                  </pic:blipFill>
                  <pic:spPr>
                    <a:xfrm>
                      <a:off x="0" y="0"/>
                      <a:ext cx="5029200" cy="3143250"/>
                    </a:xfrm>
                    <a:prstGeom prst="rect"/>
                  </pic:spPr>
                </pic:pic>
              </a:graphicData>
            </a:graphic>
          </wp:inline>
        </w:drawing>
      </w:r>
    </w:p>
    <w:p>
      <w:pPr>
        <w:spacing w:after="240"/>
        <w:jc w:val="center"/>
      </w:pPr>
      <w:r>
        <w:rPr>
          <w:i/>
          <w:sz w:val="20"/>
        </w:rPr>
        <w:t>Figure 2.2.2: Registration page</w:t>
      </w:r>
    </w:p>
    <w:p>
      <w:pPr>
        <w:spacing w:after="120" w:line="360" w:lineRule="exact"/>
        <w:jc w:val="both"/>
      </w:pPr>
      <w:r>
        <w:rPr>
          <w:sz w:val="24"/>
        </w:rPr>
        <w:t>The registration page allows new users to create a free account with a unique username, email, and password (minimum 6 characters). Duplicate usernames and emails are rejected. Successful registration logs the user in immediately and redirects to the dashboard.</w:t>
      </w:r>
    </w:p>
    <w:p>
      <w:pPr>
        <w:spacing w:before="160" w:after="80"/>
      </w:pPr>
      <w:r>
        <w:rPr>
          <w:b/>
          <w:sz w:val="24"/>
        </w:rPr>
        <w:t>2.2.3 Prediction Dashboard</w:t>
      </w:r>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fig_2_2_3_dashboard.png"/>
                    <pic:cNvPicPr/>
                  </pic:nvPicPr>
                  <pic:blipFill>
                    <a:blip r:embed="rId11"/>
                    <a:stretch>
                      <a:fillRect/>
                    </a:stretch>
                  </pic:blipFill>
                  <pic:spPr>
                    <a:xfrm>
                      <a:off x="0" y="0"/>
                      <a:ext cx="5029200" cy="3143250"/>
                    </a:xfrm>
                    <a:prstGeom prst="rect"/>
                  </pic:spPr>
                </pic:pic>
              </a:graphicData>
            </a:graphic>
          </wp:inline>
        </w:drawing>
      </w:r>
    </w:p>
    <w:p>
      <w:pPr>
        <w:spacing w:after="240"/>
        <w:jc w:val="center"/>
      </w:pPr>
      <w:r>
        <w:rPr>
          <w:i/>
          <w:sz w:val="20"/>
        </w:rPr>
        <w:t>Figure 2.2.3: Main prediction dashboard</w:t>
      </w:r>
    </w:p>
    <w:p>
      <w:pPr>
        <w:spacing w:after="120" w:line="360" w:lineRule="exact"/>
        <w:jc w:val="both"/>
      </w:pPr>
      <w:r>
        <w:rPr>
          <w:sz w:val="24"/>
        </w:rPr>
        <w:t>The main dashboard is the primary interface for authenticated users. It features a ticker input, quick-pick buttons for all nine pre-trained instruments, and an interval selector toggling between Daily (45 features) and Intraday 1-Hour (55 features) modes. Free accounts are limited to 5 predictions per day; Pro accounts are unlimited.</w:t>
      </w:r>
    </w:p>
    <w:p>
      <w:pPr>
        <w:spacing w:before="160" w:after="80"/>
      </w:pPr>
      <w:r>
        <w:rPr>
          <w:b/>
          <w:sz w:val="24"/>
        </w:rPr>
        <w:t>2.2.4 Prediction Results Page</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ig_2_2_4_result.png"/>
                    <pic:cNvPicPr/>
                  </pic:nvPicPr>
                  <pic:blipFill>
                    <a:blip r:embed="rId12"/>
                    <a:stretch>
                      <a:fillRect/>
                    </a:stretch>
                  </pic:blipFill>
                  <pic:spPr>
                    <a:xfrm>
                      <a:off x="0" y="0"/>
                      <a:ext cx="5029200" cy="3143250"/>
                    </a:xfrm>
                    <a:prstGeom prst="rect"/>
                  </pic:spPr>
                </pic:pic>
              </a:graphicData>
            </a:graphic>
          </wp:inline>
        </w:drawing>
      </w:r>
    </w:p>
    <w:p>
      <w:pPr>
        <w:spacing w:after="240"/>
        <w:jc w:val="center"/>
      </w:pPr>
      <w:r>
        <w:rPr>
          <w:i/>
          <w:sz w:val="20"/>
        </w:rPr>
        <w:t>Figure 2.2.4: Prediction results page</w:t>
      </w:r>
    </w:p>
    <w:p>
      <w:pPr>
        <w:spacing w:after="120" w:line="360" w:lineRule="exact"/>
        <w:jc w:val="both"/>
      </w:pPr>
      <w:r>
        <w:rPr>
          <w:sz w:val="24"/>
        </w:rPr>
        <w:t>The results page displays the predicted closing price from LR (Next_Close price) and RF (Next_Return % converted to price), a confidence score, directional signal (Up/Down), RSI with Overbought/Oversold classification, and a MACD Bullish/Bearish signal. An embedded TradingView chart shows live candlesticks with SMA-7 and SMA-21 overlays. The as-of timestamp is shown in ET for intraday bars.</w:t>
      </w:r>
    </w:p>
    <w:p>
      <w:pPr>
        <w:spacing w:before="160" w:after="80"/>
      </w:pPr>
      <w:r>
        <w:rPr>
          <w:b/>
          <w:sz w:val="24"/>
        </w:rPr>
        <w:t>2.2.5 MT5 Algorithmic Trading Dashboard (Pro)</w:t>
      </w:r>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fig_2_2_5_mt5.png"/>
                    <pic:cNvPicPr/>
                  </pic:nvPicPr>
                  <pic:blipFill>
                    <a:blip r:embed="rId13"/>
                    <a:stretch>
                      <a:fillRect/>
                    </a:stretch>
                  </pic:blipFill>
                  <pic:spPr>
                    <a:xfrm>
                      <a:off x="0" y="0"/>
                      <a:ext cx="5029200" cy="3143250"/>
                    </a:xfrm>
                    <a:prstGeom prst="rect"/>
                  </pic:spPr>
                </pic:pic>
              </a:graphicData>
            </a:graphic>
          </wp:inline>
        </w:drawing>
      </w:r>
    </w:p>
    <w:p>
      <w:pPr>
        <w:spacing w:after="240"/>
        <w:jc w:val="center"/>
      </w:pPr>
      <w:r>
        <w:rPr>
          <w:i/>
          <w:sz w:val="20"/>
        </w:rPr>
        <w:t>Figure 2.2.5: MT5 algorithmic trading dashboard</w:t>
      </w:r>
    </w:p>
    <w:p>
      <w:pPr>
        <w:spacing w:after="120" w:line="360" w:lineRule="exact"/>
        <w:jc w:val="both"/>
      </w:pPr>
      <w:r>
        <w:rPr>
          <w:sz w:val="24"/>
        </w:rPr>
        <w:t>Available to Pro subscribers only, the MT5 dashboard connects to MetaTrader 5 via the MetaApi cloud SDK (v29.1.1) or runs in paper-trading mode. It displays open positions, P&amp;L, the current ICT bias, and the triple-fusion signal score. Risk parameters: SL = 1.5 × ATR-14, TP = 2.5 × ATR-14, max 2 positions, 5% daily loss limit.</w:t>
      </w:r>
    </w:p>
    <w:p>
      <w:pPr>
        <w:spacing w:before="160" w:after="80"/>
      </w:pPr>
      <w:r>
        <w:rPr>
          <w:b/>
          <w:sz w:val="26"/>
        </w:rPr>
        <w:t>2.3 Logic Models</w:t>
      </w:r>
    </w:p>
    <w:p>
      <w:pPr>
        <w:spacing w:after="120" w:line="360" w:lineRule="exact"/>
        <w:jc w:val="both"/>
      </w:pPr>
      <w:r>
        <w:rPr>
          <w:sz w:val="24"/>
        </w:rPr>
        <w:t>The following flowcharts describe the control flow and decision logic of the key processes within the Stock Market Price Prediction System.</w:t>
      </w:r>
    </w:p>
    <w:p>
      <w:pPr>
        <w:spacing w:before="160" w:after="80"/>
      </w:pPr>
      <w:r>
        <w:rPr>
          <w:b/>
          <w:sz w:val="24"/>
        </w:rPr>
        <w:t>2.3.1 Login Process Flowchart</w:t>
      </w:r>
    </w:p>
    <w:p>
      <w:pPr>
        <w:jc w:val="center"/>
      </w:pPr>
      <w:r>
        <w:drawing>
          <wp:inline xmlns:a="http://schemas.openxmlformats.org/drawingml/2006/main" xmlns:pic="http://schemas.openxmlformats.org/drawingml/2006/picture">
            <wp:extent cx="4114800" cy="6207071"/>
            <wp:docPr id="6" name="Picture 6"/>
            <wp:cNvGraphicFramePr>
              <a:graphicFrameLocks noChangeAspect="1"/>
            </wp:cNvGraphicFramePr>
            <a:graphic>
              <a:graphicData uri="http://schemas.openxmlformats.org/drawingml/2006/picture">
                <pic:pic>
                  <pic:nvPicPr>
                    <pic:cNvPr id="0" name="fig_2_3_1_login_flowchart.png"/>
                    <pic:cNvPicPr/>
                  </pic:nvPicPr>
                  <pic:blipFill>
                    <a:blip r:embed="rId14"/>
                    <a:stretch>
                      <a:fillRect/>
                    </a:stretch>
                  </pic:blipFill>
                  <pic:spPr>
                    <a:xfrm>
                      <a:off x="0" y="0"/>
                      <a:ext cx="4114800" cy="6207071"/>
                    </a:xfrm>
                    <a:prstGeom prst="rect"/>
                  </pic:spPr>
                </pic:pic>
              </a:graphicData>
            </a:graphic>
          </wp:inline>
        </w:drawing>
      </w:r>
    </w:p>
    <w:p>
      <w:pPr>
        <w:spacing w:after="240"/>
        <w:jc w:val="center"/>
      </w:pPr>
      <w:r>
        <w:rPr>
          <w:i/>
          <w:sz w:val="20"/>
        </w:rPr>
        <w:t>Figure 2.3.1: Login process flowchart</w:t>
      </w:r>
    </w:p>
    <w:p>
      <w:pPr>
        <w:spacing w:after="120" w:line="360" w:lineRule="exact"/>
        <w:jc w:val="both"/>
      </w:pPr>
      <w:r>
        <w:rPr>
          <w:sz w:val="24"/>
        </w:rPr>
        <w:t>The flowchart illustrates the login process. The user submits credentials; the system queries users.db for the username. If found, the password is verified via check_password_hash(). On success, Flask-Login creates a session and redirects to the dashboard. Both failure branches return a generic error to prevent username enumeration.</w:t>
      </w:r>
    </w:p>
    <w:p>
      <w:pPr>
        <w:spacing w:before="160" w:after="80"/>
      </w:pPr>
      <w:r>
        <w:rPr>
          <w:b/>
          <w:sz w:val="24"/>
        </w:rPr>
        <w:t>2.3.2 Prediction Process Flowchart</w:t>
      </w:r>
    </w:p>
    <w:p>
      <w:pPr>
        <w:jc w:val="center"/>
      </w:pPr>
      <w:r>
        <w:drawing>
          <wp:inline xmlns:a="http://schemas.openxmlformats.org/drawingml/2006/main" xmlns:pic="http://schemas.openxmlformats.org/drawingml/2006/picture">
            <wp:extent cx="4114800" cy="6500191"/>
            <wp:docPr id="7" name="Picture 7"/>
            <wp:cNvGraphicFramePr>
              <a:graphicFrameLocks noChangeAspect="1"/>
            </wp:cNvGraphicFramePr>
            <a:graphic>
              <a:graphicData uri="http://schemas.openxmlformats.org/drawingml/2006/picture">
                <pic:pic>
                  <pic:nvPicPr>
                    <pic:cNvPr id="0" name="fig_2_3_2_prediction_flowchart.png"/>
                    <pic:cNvPicPr/>
                  </pic:nvPicPr>
                  <pic:blipFill>
                    <a:blip r:embed="rId15"/>
                    <a:stretch>
                      <a:fillRect/>
                    </a:stretch>
                  </pic:blipFill>
                  <pic:spPr>
                    <a:xfrm>
                      <a:off x="0" y="0"/>
                      <a:ext cx="4114800" cy="6500191"/>
                    </a:xfrm>
                    <a:prstGeom prst="rect"/>
                  </pic:spPr>
                </pic:pic>
              </a:graphicData>
            </a:graphic>
          </wp:inline>
        </w:drawing>
      </w:r>
    </w:p>
    <w:p>
      <w:pPr>
        <w:spacing w:after="240"/>
        <w:jc w:val="center"/>
      </w:pPr>
      <w:r>
        <w:rPr>
          <w:i/>
          <w:sz w:val="20"/>
        </w:rPr>
        <w:t>Figure 2.3.2: Prediction process flowchart</w:t>
      </w:r>
    </w:p>
    <w:p>
      <w:pPr>
        <w:spacing w:after="120" w:line="360" w:lineRule="exact"/>
        <w:jc w:val="both"/>
      </w:pPr>
      <w:r>
        <w:rPr>
          <w:sz w:val="24"/>
        </w:rPr>
        <w:t>The prediction pipeline: ticker + interval submitted → local model artefacts checked (Azure Blob fallback if missing) → OHLCV fetched from yfinance (NDX mapped to ^NDX) → build_features() engineers 45 daily or 55 intraday features → scaled by MinMaxScaler → LR predicts Next_Close price, RF predicts Next_Return % (converted to price) → confidence, direction signal, and chart data assembled → result page rendered.</w:t>
      </w:r>
    </w:p>
    <w:p>
      <w:pPr>
        <w:spacing w:before="160" w:after="80"/>
      </w:pPr>
      <w:r>
        <w:rPr>
          <w:b/>
          <w:sz w:val="24"/>
        </w:rPr>
        <w:t>2.3.3 Triple-Fusion Signal Scoring Flowchart</w:t>
      </w:r>
    </w:p>
    <w:p>
      <w:pPr>
        <w:jc w:val="center"/>
      </w:pPr>
      <w:r>
        <w:drawing>
          <wp:inline xmlns:a="http://schemas.openxmlformats.org/drawingml/2006/main" xmlns:pic="http://schemas.openxmlformats.org/drawingml/2006/picture">
            <wp:extent cx="4389120" cy="6465055"/>
            <wp:docPr id="8" name="Picture 8"/>
            <wp:cNvGraphicFramePr>
              <a:graphicFrameLocks noChangeAspect="1"/>
            </wp:cNvGraphicFramePr>
            <a:graphic>
              <a:graphicData uri="http://schemas.openxmlformats.org/drawingml/2006/picture">
                <pic:pic>
                  <pic:nvPicPr>
                    <pic:cNvPr id="0" name="fig_2_3_3_triple_fusion.png"/>
                    <pic:cNvPicPr/>
                  </pic:nvPicPr>
                  <pic:blipFill>
                    <a:blip r:embed="rId16"/>
                    <a:stretch>
                      <a:fillRect/>
                    </a:stretch>
                  </pic:blipFill>
                  <pic:spPr>
                    <a:xfrm>
                      <a:off x="0" y="0"/>
                      <a:ext cx="4389120" cy="6465055"/>
                    </a:xfrm>
                    <a:prstGeom prst="rect"/>
                  </pic:spPr>
                </pic:pic>
              </a:graphicData>
            </a:graphic>
          </wp:inline>
        </w:drawing>
      </w:r>
    </w:p>
    <w:p>
      <w:pPr>
        <w:spacing w:after="240"/>
        <w:jc w:val="center"/>
      </w:pPr>
      <w:r>
        <w:rPr>
          <w:i/>
          <w:sz w:val="20"/>
        </w:rPr>
        <w:t>Figure 2.3.3: Triple-fusion signal scoring flowchart</w:t>
      </w:r>
    </w:p>
    <w:p>
      <w:pPr>
        <w:spacing w:after="120" w:line="360" w:lineRule="exact"/>
        <w:jc w:val="both"/>
      </w:pPr>
      <w:r>
        <w:rPr>
          <w:sz w:val="24"/>
        </w:rPr>
        <w:t>The triple-fusion engine used in backtest.py and mt5_trading.py. Layer 1 ICT Gate: Above_200SMA + Structure_Bullish + EMA12&gt;EMA26 required — no trade if gate fails. Layer 2 ICT Score: OB(+2), FVG(+1), Sweep(+2), PD Zone(+1–3), Displacement(+1) — must reach ≥ 3. Layer 3: LR+RF agreement(+2), disagreement(−1); RSI/MACD/EMA alignment adds/subtracts points. Total ≥ 5 triggers trade entry.</w:t>
      </w:r>
    </w:p>
    <w:p>
      <w:pPr>
        <w:spacing w:before="160" w:after="80"/>
      </w:pPr>
      <w:r>
        <w:rPr>
          <w:b/>
          <w:sz w:val="26"/>
        </w:rPr>
        <w:t>2.4 Data Flow Diagrams</w:t>
      </w:r>
    </w:p>
    <w:p>
      <w:pPr>
        <w:jc w:val="center"/>
      </w:pPr>
      <w:r>
        <w:drawing>
          <wp:inline xmlns:a="http://schemas.openxmlformats.org/drawingml/2006/main" xmlns:pic="http://schemas.openxmlformats.org/drawingml/2006/picture">
            <wp:extent cx="5486400" cy="3827549"/>
            <wp:docPr id="9" name="Picture 9"/>
            <wp:cNvGraphicFramePr>
              <a:graphicFrameLocks noChangeAspect="1"/>
            </wp:cNvGraphicFramePr>
            <a:graphic>
              <a:graphicData uri="http://schemas.openxmlformats.org/drawingml/2006/picture">
                <pic:pic>
                  <pic:nvPicPr>
                    <pic:cNvPr id="0" name="fig_2_4_1_dfd.png"/>
                    <pic:cNvPicPr/>
                  </pic:nvPicPr>
                  <pic:blipFill>
                    <a:blip r:embed="rId17"/>
                    <a:stretch>
                      <a:fillRect/>
                    </a:stretch>
                  </pic:blipFill>
                  <pic:spPr>
                    <a:xfrm>
                      <a:off x="0" y="0"/>
                      <a:ext cx="5486400" cy="3827549"/>
                    </a:xfrm>
                    <a:prstGeom prst="rect"/>
                  </pic:spPr>
                </pic:pic>
              </a:graphicData>
            </a:graphic>
          </wp:inline>
        </w:drawing>
      </w:r>
    </w:p>
    <w:p>
      <w:pPr>
        <w:spacing w:after="240"/>
        <w:jc w:val="center"/>
      </w:pPr>
      <w:r>
        <w:rPr>
          <w:i/>
          <w:sz w:val="20"/>
        </w:rPr>
        <w:t>Figure 2.4.1: Level 1 Data Flow Diagram</w:t>
      </w:r>
    </w:p>
    <w:p>
      <w:pPr>
        <w:spacing w:after="120" w:line="360" w:lineRule="exact"/>
        <w:jc w:val="both"/>
      </w:pPr>
      <w:r>
        <w:rPr>
          <w:sz w:val="24"/>
        </w:rPr>
        <w:t>The Level 1 DFD shows four processes: P1 Auth (reads/writes users.db), P2 Data Acquire (fetches OHLCV from yfinance, stores features in memory), P3 Model Inference (loads artefacts from Saved Models/ or Azure, applies scaler, runs LR+RF), and P4 Dashboard Output (renders prediction result to the user's browser). The yfinance API and Azure Blob Storage are external actors outside the system boundary.</w:t>
      </w:r>
    </w:p>
    <w:p>
      <w:pPr>
        <w:spacing w:before="160" w:after="80"/>
      </w:pPr>
      <w:r>
        <w:rPr>
          <w:b/>
          <w:sz w:val="26"/>
        </w:rPr>
        <w:t>2.5 Entity Relationship Diagram</w:t>
      </w:r>
    </w:p>
    <w:p>
      <w:pPr>
        <w:jc w:val="center"/>
      </w:pPr>
      <w:r>
        <w:drawing>
          <wp:inline xmlns:a="http://schemas.openxmlformats.org/drawingml/2006/main" xmlns:pic="http://schemas.openxmlformats.org/drawingml/2006/picture">
            <wp:extent cx="5486400" cy="4450432"/>
            <wp:docPr id="10" name="Picture 10"/>
            <wp:cNvGraphicFramePr>
              <a:graphicFrameLocks noChangeAspect="1"/>
            </wp:cNvGraphicFramePr>
            <a:graphic>
              <a:graphicData uri="http://schemas.openxmlformats.org/drawingml/2006/picture">
                <pic:pic>
                  <pic:nvPicPr>
                    <pic:cNvPr id="0" name="fig_2_5_1_erd.png"/>
                    <pic:cNvPicPr/>
                  </pic:nvPicPr>
                  <pic:blipFill>
                    <a:blip r:embed="rId18"/>
                    <a:stretch>
                      <a:fillRect/>
                    </a:stretch>
                  </pic:blipFill>
                  <pic:spPr>
                    <a:xfrm>
                      <a:off x="0" y="0"/>
                      <a:ext cx="5486400" cy="4450432"/>
                    </a:xfrm>
                    <a:prstGeom prst="rect"/>
                  </pic:spPr>
                </pic:pic>
              </a:graphicData>
            </a:graphic>
          </wp:inline>
        </w:drawing>
      </w:r>
    </w:p>
    <w:p>
      <w:pPr>
        <w:spacing w:after="240"/>
        <w:jc w:val="center"/>
      </w:pPr>
      <w:r>
        <w:rPr>
          <w:i/>
          <w:sz w:val="20"/>
        </w:rPr>
        <w:t>Figure 2.5.1: Entity Relationship Diagram (ERD)</w:t>
      </w:r>
    </w:p>
    <w:p>
      <w:pPr>
        <w:spacing w:after="120" w:line="360" w:lineRule="exact"/>
        <w:jc w:val="both"/>
      </w:pPr>
      <w:r>
        <w:rPr>
          <w:sz w:val="24"/>
        </w:rPr>
        <w:t>The ERD shows four entities. User: id, username, email, password_hash, plan, predictions_today, last_prediction_date. Ticker: symbol (PK), name, yf_symbol (e.g. ^NDX for NDX), supported_intervals. Model: model_id, ticker_symbol (FK), interval, model_type (LR/RF/LSTM), file_path, n_features (45 or 55), trained_at. Prediction: prediction_id, user_id (FK), ticker_symbol (FK), interval, current_price, lr_prediction, rf_prediction, lstm_prediction, direction_signal, confidence, predicted_at. One User makes many Predictions; one Ticker has many Models and Predictions.</w:t>
      </w:r>
    </w:p>
    <w:p>
      <w:pPr>
        <w:spacing w:before="160" w:after="80"/>
      </w:pPr>
      <w:r>
        <w:rPr>
          <w:b/>
          <w:sz w:val="26"/>
        </w:rPr>
        <w:t>2.6 Use Case Diagram</w:t>
      </w:r>
    </w:p>
    <w:p>
      <w:pPr>
        <w:jc w:val="center"/>
      </w:pPr>
      <w:r>
        <w:drawing>
          <wp:inline xmlns:a="http://schemas.openxmlformats.org/drawingml/2006/main" xmlns:pic="http://schemas.openxmlformats.org/drawingml/2006/picture">
            <wp:extent cx="5486400" cy="9310255"/>
            <wp:docPr id="11" name="Picture 11"/>
            <wp:cNvGraphicFramePr>
              <a:graphicFrameLocks noChangeAspect="1"/>
            </wp:cNvGraphicFramePr>
            <a:graphic>
              <a:graphicData uri="http://schemas.openxmlformats.org/drawingml/2006/picture">
                <pic:pic>
                  <pic:nvPicPr>
                    <pic:cNvPr id="0" name="fig_2_6_1_usecase.png"/>
                    <pic:cNvPicPr/>
                  </pic:nvPicPr>
                  <pic:blipFill>
                    <a:blip r:embed="rId19"/>
                    <a:stretch>
                      <a:fillRect/>
                    </a:stretch>
                  </pic:blipFill>
                  <pic:spPr>
                    <a:xfrm>
                      <a:off x="0" y="0"/>
                      <a:ext cx="5486400" cy="9310255"/>
                    </a:xfrm>
                    <a:prstGeom prst="rect"/>
                  </pic:spPr>
                </pic:pic>
              </a:graphicData>
            </a:graphic>
          </wp:inline>
        </w:drawing>
      </w:r>
    </w:p>
    <w:p>
      <w:pPr>
        <w:spacing w:after="240"/>
        <w:jc w:val="center"/>
      </w:pPr>
      <w:r>
        <w:rPr>
          <w:i/>
          <w:sz w:val="20"/>
        </w:rPr>
        <w:t>Figure 2.6.1: Use case diagram</w:t>
      </w:r>
    </w:p>
    <w:p>
      <w:pPr>
        <w:spacing w:after="120" w:line="360" w:lineRule="exact"/>
        <w:jc w:val="both"/>
      </w:pPr>
      <w:r>
        <w:rPr>
          <w:sz w:val="24"/>
        </w:rPr>
        <w:t>Free User and Pro User actors share seven use cases: register/login/logout, select ticker (9 instruments), select interval (Daily/1h), view predictions (LR+RF), view confidence and direction signal, view RSI/MACD/BB indicators, and view TradingView chart. Pro User additionally accesses: connect MT5/MetaApi, run automated trading engine, monitor positions and P&amp;L, configure risk parameters, and view triple-fusion signal score. yfinance API and Azure Blob Storage appear as external actors.</w:t>
      </w:r>
    </w:p>
    <w:p>
      <w:pPr>
        <w:spacing w:before="160" w:after="80"/>
      </w:pPr>
      <w:r>
        <w:rPr>
          <w:b/>
          <w:sz w:val="26"/>
        </w:rPr>
        <w:t>2.7 Class Diagram</w:t>
      </w:r>
    </w:p>
    <w:p>
      <w:pPr>
        <w:jc w:val="center"/>
      </w:pPr>
      <w:r>
        <w:drawing>
          <wp:inline xmlns:a="http://schemas.openxmlformats.org/drawingml/2006/main" xmlns:pic="http://schemas.openxmlformats.org/drawingml/2006/picture">
            <wp:extent cx="5486400" cy="2222840"/>
            <wp:docPr id="12" name="Picture 12"/>
            <wp:cNvGraphicFramePr>
              <a:graphicFrameLocks noChangeAspect="1"/>
            </wp:cNvGraphicFramePr>
            <a:graphic>
              <a:graphicData uri="http://schemas.openxmlformats.org/drawingml/2006/picture">
                <pic:pic>
                  <pic:nvPicPr>
                    <pic:cNvPr id="0" name="fig_2_7_1_class.png"/>
                    <pic:cNvPicPr/>
                  </pic:nvPicPr>
                  <pic:blipFill>
                    <a:blip r:embed="rId20"/>
                    <a:stretch>
                      <a:fillRect/>
                    </a:stretch>
                  </pic:blipFill>
                  <pic:spPr>
                    <a:xfrm>
                      <a:off x="0" y="0"/>
                      <a:ext cx="5486400" cy="2222840"/>
                    </a:xfrm>
                    <a:prstGeom prst="rect"/>
                  </pic:spPr>
                </pic:pic>
              </a:graphicData>
            </a:graphic>
          </wp:inline>
        </w:drawing>
      </w:r>
    </w:p>
    <w:p>
      <w:pPr>
        <w:spacing w:after="240"/>
        <w:jc w:val="center"/>
      </w:pPr>
      <w:r>
        <w:rPr>
          <w:i/>
          <w:sz w:val="20"/>
        </w:rPr>
        <w:t>Figure 2.7.1: Class diagram</w:t>
      </w:r>
    </w:p>
    <w:p>
      <w:pPr>
        <w:spacing w:after="120" w:line="360" w:lineRule="exact"/>
        <w:jc w:val="both"/>
      </w:pPr>
      <w:r>
        <w:rPr>
          <w:sz w:val="24"/>
        </w:rPr>
        <w:t>FlaskApp (app.py) is the central controller — it composes Predictor, uses Auth and AzureStorage, and manages the User SQLAlchemy model. Predictor (predictor.py) holds the per-(ticker,interval) model cache; its build_features() applies _add_base_ta() for 45 daily features and _add_intraday_ict() for 10 additional intraday features (55 total). Auth (auth.py) manages SQLite users.db. AzureStorage (azure_storage.py) wraps the Azure SDK for the trained-models container. TradingEngine (mt5_trading.py) associates with Predictor for ML signals and handles MT5 order management.</w:t>
      </w:r>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