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2"/>
        </w:rPr>
        <w:t>CHAPTER TWO: DESIGN AND MODELING</w:t>
      </w:r>
    </w:p>
    <w:p/>
    <w:p>
      <w:pPr>
        <w:spacing w:before="160" w:after="80"/>
        <w:jc w:val="left"/>
      </w:pPr>
      <w:r>
        <w:rPr>
          <w:b/>
          <w:sz w:val="26"/>
        </w:rPr>
        <w:t>2.1 Introduction to Modelling</w:t>
      </w:r>
    </w:p>
    <w:p>
      <w:pPr>
        <w:spacing w:after="120" w:line="360" w:lineRule="exact"/>
        <w:jc w:val="both"/>
      </w:pPr>
      <w:r>
        <w:rPr>
          <w:sz w:val="24"/>
        </w:rPr>
        <w:t>This chapter presents the system designs and models developed to visualize the Stock Market Price Prediction System before and during implementation. The diagrams and models illustrate how the system functions, how users interact with it, and how data flows within the system. Modelling the system helped clarify requirements, identify potential challenges early, and ensure all components are well organized. This approach reduced development errors and provided a clear blueprint that guided implementation, resulting in an efficient, reliable, and well-structured system.</w:t>
      </w:r>
    </w:p>
    <w:p>
      <w:pPr>
        <w:spacing w:after="120" w:line="360" w:lineRule="exact"/>
        <w:jc w:val="both"/>
      </w:pPr>
      <w:r>
        <w:rPr>
          <w:sz w:val="24"/>
        </w:rPr>
        <w:t>The Stock Market Price Prediction System is a Machine Learning-based quantitative trading platform that predicts the next-day or next-hour closing price for any listed stock ticker using Linear Regression (LR) and Random Forest (RF) models, with LSTM support for AAPL. It is built with Flask, deployed on Render, and trained on historical OHLCV data enriched with ICT (Inner Circle Trader) concepts — Order Blocks, Fair Value Gaps, Market Structure, Premium/Discount zones, Kill Zones, and Liquidity Sweeps — alongside standard technical indicators. The system supports nine tickers (AAPL, QQQ, NDX, TSLA, MSFT, GOOGL, NVDA, META, AMZN) across two prediction intervals: Daily (1d) and Intraday 1-Hour (1h).</w:t>
      </w:r>
    </w:p>
    <w:p>
      <w:pPr>
        <w:spacing w:before="160" w:after="80"/>
        <w:jc w:val="left"/>
      </w:pPr>
      <w:r>
        <w:rPr>
          <w:b/>
          <w:sz w:val="26"/>
        </w:rPr>
        <w:t>2.2 User Interface Models</w:t>
      </w:r>
    </w:p>
    <w:p>
      <w:pPr>
        <w:spacing w:after="120" w:line="360" w:lineRule="exact"/>
        <w:jc w:val="both"/>
      </w:pPr>
      <w:r>
        <w:rPr>
          <w:sz w:val="24"/>
        </w:rPr>
        <w:t>The user interface was designed with a dark financial theme — black background with an orange accent colour (#FF6B35) — to reduce eye strain during extended market-hours use and align with the visual language of professional trading terminals. The following wireframes and screenshots depict the key pages of the system.</w:t>
      </w:r>
    </w:p>
    <w:p>
      <w:pPr>
        <w:spacing w:before="160" w:after="80"/>
        <w:jc w:val="left"/>
      </w:pPr>
      <w:r>
        <w:rPr>
          <w:b/>
          <w:sz w:val="24"/>
        </w:rPr>
        <w:t>2.2.1 Login Page</w:t>
      </w:r>
    </w:p>
    <w:p>
      <w:pPr>
        <w:spacing w:before="120" w:after="80"/>
        <w:jc w:val="center"/>
        <w:shd w:val="clear" w:color="auto" w:fill="D9D9D9"/>
      </w:pPr>
      <w:r>
        <w:rPr>
          <w:i/>
          <w:color w:val="444444"/>
          <w:sz w:val="22"/>
        </w:rPr>
        <w:t>[ Figure 2.2.1 — Login Page Screenshot ]</w:t>
      </w:r>
    </w:p>
    <w:p>
      <w:pPr>
        <w:spacing w:after="200"/>
        <w:jc w:val="center"/>
      </w:pPr>
      <w:r>
        <w:rPr>
          <w:i/>
          <w:sz w:val="20"/>
        </w:rPr>
        <w:t>Figure 2.2.1: Login page</w:t>
      </w:r>
    </w:p>
    <w:p>
      <w:pPr>
        <w:spacing w:after="120" w:line="360" w:lineRule="exact"/>
        <w:jc w:val="both"/>
      </w:pPr>
      <w:r>
        <w:rPr>
          <w:sz w:val="24"/>
        </w:rPr>
        <w:t>The login page provides a secure interface where registered users enter their username and password to access the prediction dashboard. Authentication is handled by the auth.py module, which queries the SQLite user database (Data/users.db) and verifies the submitted password against a Werkzeug-generated bcrypt hash via check_password_hash(). All prediction routes are protected by Flask-Login's @login_required decorator, ensuring that only authenticated users can access market data and model outputs. Failed login attempts display an error message without revealing whether the username or password was incorrect.</w:t>
      </w:r>
    </w:p>
    <w:p>
      <w:pPr>
        <w:spacing w:before="160" w:after="80"/>
        <w:jc w:val="left"/>
      </w:pPr>
      <w:r>
        <w:rPr>
          <w:b/>
          <w:sz w:val="24"/>
        </w:rPr>
        <w:t>2.2.2 Registration Page</w:t>
      </w:r>
    </w:p>
    <w:p>
      <w:pPr>
        <w:spacing w:before="120" w:after="80"/>
        <w:jc w:val="center"/>
        <w:shd w:val="clear" w:color="auto" w:fill="D9D9D9"/>
      </w:pPr>
      <w:r>
        <w:rPr>
          <w:i/>
          <w:color w:val="444444"/>
          <w:sz w:val="22"/>
        </w:rPr>
        <w:t>[ Figure 2.2.2 — Registration Page Screenshot ]</w:t>
      </w:r>
    </w:p>
    <w:p>
      <w:pPr>
        <w:spacing w:after="200"/>
        <w:jc w:val="center"/>
      </w:pPr>
      <w:r>
        <w:rPr>
          <w:i/>
          <w:sz w:val="20"/>
        </w:rPr>
        <w:t>Figure 2.2.2: Registration page</w:t>
      </w:r>
    </w:p>
    <w:p>
      <w:pPr>
        <w:spacing w:after="120" w:line="360" w:lineRule="exact"/>
        <w:jc w:val="both"/>
      </w:pPr>
      <w:r>
        <w:rPr>
          <w:sz w:val="24"/>
        </w:rPr>
        <w:t>The registration page allows new users to create an account with a unique username and password. Passwords are hashed immediately using generate_password_hash() before being written to the database — plaintext credentials are never persisted. Duplicate usernames trigger a SQLite IntegrityError that is caught and surfaced as a friendly error message. Successful registration redirects the user to the login page.</w:t>
      </w:r>
    </w:p>
    <w:p>
      <w:pPr>
        <w:spacing w:before="160" w:after="80"/>
        <w:jc w:val="left"/>
      </w:pPr>
      <w:r>
        <w:rPr>
          <w:b/>
          <w:sz w:val="24"/>
        </w:rPr>
        <w:t>2.2.3 Prediction Dashboard</w:t>
      </w:r>
    </w:p>
    <w:p>
      <w:pPr>
        <w:spacing w:before="120" w:after="80"/>
        <w:jc w:val="center"/>
        <w:shd w:val="clear" w:color="auto" w:fill="D9D9D9"/>
      </w:pPr>
      <w:r>
        <w:rPr>
          <w:i/>
          <w:color w:val="444444"/>
          <w:sz w:val="22"/>
        </w:rPr>
        <w:t>[ Figure 2.2.3 — Prediction Dashboard Screenshot ]</w:t>
      </w:r>
    </w:p>
    <w:p>
      <w:pPr>
        <w:spacing w:after="200"/>
        <w:jc w:val="center"/>
      </w:pPr>
      <w:r>
        <w:rPr>
          <w:i/>
          <w:sz w:val="20"/>
        </w:rPr>
        <w:t>Figure 2.2.3: Main prediction dashboard</w:t>
      </w:r>
    </w:p>
    <w:p>
      <w:pPr>
        <w:spacing w:after="120" w:line="360" w:lineRule="exact"/>
        <w:jc w:val="both"/>
      </w:pPr>
      <w:r>
        <w:rPr>
          <w:sz w:val="24"/>
        </w:rPr>
        <w:t>The main dashboard is the primary interface for authenticated users. It features a ticker input field that accepts any listed stock symbol, quick-pick buttons for the nine pre-trained instruments (QQQ, NDX, AAPL, TSLA, MSFT, GOOGL, NVDA, META, AMZN), and an interval selector that toggles between Daily (next-day prediction, 45 features) and Intraday 1-Hour (next-hour prediction, 55 features) modes. On form submission, the system fetches live OHLCV data via the yfinance API, engineers the appropriate feature set, loads the matching pre-trained LR and RF models from the local Saved Models/ directory or from Azure Blob Storage as a fallback, and returns a structured prediction result to the results page.</w:t>
      </w:r>
    </w:p>
    <w:p>
      <w:pPr>
        <w:spacing w:before="160" w:after="80"/>
        <w:jc w:val="left"/>
      </w:pPr>
      <w:r>
        <w:rPr>
          <w:b/>
          <w:sz w:val="24"/>
        </w:rPr>
        <w:t>2.2.4 Prediction Results Page</w:t>
      </w:r>
    </w:p>
    <w:p>
      <w:pPr>
        <w:spacing w:before="120" w:after="80"/>
        <w:jc w:val="center"/>
        <w:shd w:val="clear" w:color="auto" w:fill="D9D9D9"/>
      </w:pPr>
      <w:r>
        <w:rPr>
          <w:i/>
          <w:color w:val="444444"/>
          <w:sz w:val="22"/>
        </w:rPr>
        <w:t>[ Figure 2.2.4 — Prediction Results Page Screenshot ]</w:t>
      </w:r>
    </w:p>
    <w:p>
      <w:pPr>
        <w:spacing w:after="200"/>
        <w:jc w:val="center"/>
      </w:pPr>
      <w:r>
        <w:rPr>
          <w:i/>
          <w:sz w:val="20"/>
        </w:rPr>
        <w:t>Figure 2.2.4: Prediction results page</w:t>
      </w:r>
    </w:p>
    <w:p>
      <w:pPr>
        <w:spacing w:after="120" w:line="360" w:lineRule="exact"/>
        <w:jc w:val="both"/>
      </w:pPr>
      <w:r>
        <w:rPr>
          <w:sz w:val="24"/>
        </w:rPr>
        <w:t>The results page displays the predicted closing price for the selected ticker and interval. It shows the current price, the Linear Regression predicted price (Next_Close), the Random Forest predicted price (derived from predicted Next_Return %, converted to price), and — for AAPL daily — the LSTM prediction. A confidence score is computed from the magnitude of the predicted price change relative to recent 20-bar volatility. The directional signal (Up or Down) and an RSI reading with Overbought/Oversold/Neutral classification are displayed as indicator cards. A MACD Bullish/Bearish signal is also shown. An embedded TradingView chart provides live candlestick data alongside the system's own SMA-7 and SMA-21 overlays plotted from the last 90 bars of the fetched OHLCV data. The as-of timestamp is shown in the user's local time zone (ET for intraday bars).</w:t>
      </w:r>
    </w:p>
    <w:p>
      <w:pPr>
        <w:spacing w:before="160" w:after="80"/>
        <w:jc w:val="left"/>
      </w:pPr>
      <w:r>
        <w:rPr>
          <w:b/>
          <w:sz w:val="24"/>
        </w:rPr>
        <w:t>2.2.5 MT5 Algorithmic Trading Dashboard (Pro)</w:t>
      </w:r>
    </w:p>
    <w:p>
      <w:pPr>
        <w:spacing w:before="120" w:after="80"/>
        <w:jc w:val="center"/>
        <w:shd w:val="clear" w:color="auto" w:fill="D9D9D9"/>
      </w:pPr>
      <w:r>
        <w:rPr>
          <w:i/>
          <w:color w:val="444444"/>
          <w:sz w:val="22"/>
        </w:rPr>
        <w:t>[ Figure 2.2.5 — MT5 Dashboard Screenshot ]</w:t>
      </w:r>
    </w:p>
    <w:p>
      <w:pPr>
        <w:spacing w:after="200"/>
        <w:jc w:val="center"/>
      </w:pPr>
      <w:r>
        <w:rPr>
          <w:i/>
          <w:sz w:val="20"/>
        </w:rPr>
        <w:t>Figure 2.2.5: MT5 algorithmic trading dashboard</w:t>
      </w:r>
    </w:p>
    <w:p>
      <w:pPr>
        <w:spacing w:after="120" w:line="360" w:lineRule="exact"/>
        <w:jc w:val="both"/>
      </w:pPr>
      <w:r>
        <w:rPr>
          <w:sz w:val="24"/>
        </w:rPr>
        <w:t>Available exclusively to Pro-tier subscribers, the MT5 dashboard allows users to configure and monitor the automated trading engine. Users can connect to MetaTrader 5 via the MetaApi cloud SDK (v29.1.1, async-bridged via a daemon thread) or run the engine in paper-trading mode without a live broker. The dashboard displays open positions, running P&amp;L, the current ICT structural bias, the latest triple-fusion signal score, and the configured risk parameters. The trading engine enforces a maximum of two simultaneous positions and a 5% daily loss limit. Stop loss is set at 1.5 × ATR-14 and take profit at 2.5 × ATR-14.</w:t>
      </w:r>
    </w:p>
    <w:p>
      <w:pPr>
        <w:spacing w:before="160" w:after="80"/>
        <w:jc w:val="left"/>
      </w:pPr>
      <w:r>
        <w:rPr>
          <w:b/>
          <w:sz w:val="26"/>
        </w:rPr>
        <w:t>2.3 Logic Models</w:t>
      </w:r>
    </w:p>
    <w:p>
      <w:pPr>
        <w:spacing w:after="120" w:line="360" w:lineRule="exact"/>
        <w:jc w:val="both"/>
      </w:pPr>
      <w:r>
        <w:rPr>
          <w:sz w:val="24"/>
        </w:rPr>
        <w:t>The following flowcharts describe the control flow and decision logic of the key processes within the Stock Market Price Prediction System.</w:t>
      </w:r>
    </w:p>
    <w:p>
      <w:pPr>
        <w:spacing w:before="160" w:after="80"/>
        <w:jc w:val="left"/>
      </w:pPr>
      <w:r>
        <w:rPr>
          <w:b/>
          <w:sz w:val="24"/>
        </w:rPr>
        <w:t>2.3.1 Login Process Flowchart</w:t>
      </w:r>
    </w:p>
    <w:p>
      <w:pPr>
        <w:spacing w:before="120" w:after="80"/>
        <w:jc w:val="center"/>
        <w:shd w:val="clear" w:color="auto" w:fill="D9D9D9"/>
      </w:pPr>
      <w:r>
        <w:rPr>
          <w:i/>
          <w:color w:val="444444"/>
          <w:sz w:val="22"/>
        </w:rPr>
        <w:t>[ Figure 2.3.1 — Login Process Flowchart ]</w:t>
      </w:r>
    </w:p>
    <w:p>
      <w:pPr>
        <w:spacing w:after="200"/>
        <w:jc w:val="center"/>
      </w:pPr>
      <w:r>
        <w:rPr>
          <w:i/>
          <w:sz w:val="20"/>
        </w:rPr>
        <w:t>Figure 2.3.1: Login process flowchart</w:t>
      </w:r>
    </w:p>
    <w:p>
      <w:pPr>
        <w:spacing w:after="120" w:line="360" w:lineRule="exact"/>
        <w:jc w:val="both"/>
      </w:pPr>
      <w:r>
        <w:rPr>
          <w:sz w:val="24"/>
        </w:rPr>
        <w:t>This flowchart illustrates the steps involved when a user attempts to log in. The user submits a username and password via the login form. The auth.py module queries Data/users.db for the username; if the record does not exist, an 'Invalid credentials' message is returned. If the username is found, the submitted password is verified against the stored hash using check_password_hash(). On failure, the same generic error is returned. On success, Flask-Login creates an authenticated session and redirects the user to the prediction dashboard. All subsequent requests carry the session cookie, and the @login_required decorator validates it on every protected route.</w:t>
      </w:r>
    </w:p>
    <w:p>
      <w:pPr>
        <w:spacing w:before="160" w:after="80"/>
        <w:jc w:val="left"/>
      </w:pPr>
      <w:r>
        <w:rPr>
          <w:b/>
          <w:sz w:val="24"/>
        </w:rPr>
        <w:t>2.3.2 Prediction Process Flowchart</w:t>
      </w:r>
    </w:p>
    <w:p>
      <w:pPr>
        <w:spacing w:before="120" w:after="80"/>
        <w:jc w:val="center"/>
        <w:shd w:val="clear" w:color="auto" w:fill="D9D9D9"/>
      </w:pPr>
      <w:r>
        <w:rPr>
          <w:i/>
          <w:color w:val="444444"/>
          <w:sz w:val="22"/>
        </w:rPr>
        <w:t>[ Figure 2.3.2 — Prediction Process Flowchart ]</w:t>
      </w:r>
    </w:p>
    <w:p>
      <w:pPr>
        <w:spacing w:after="200"/>
        <w:jc w:val="center"/>
      </w:pPr>
      <w:r>
        <w:rPr>
          <w:i/>
          <w:sz w:val="20"/>
        </w:rPr>
        <w:t>Figure 2.3.2: Prediction process flowchart</w:t>
      </w:r>
    </w:p>
    <w:p>
      <w:pPr>
        <w:spacing w:after="120" w:line="360" w:lineRule="exact"/>
        <w:jc w:val="both"/>
      </w:pPr>
      <w:r>
        <w:rPr>
          <w:sz w:val="24"/>
        </w:rPr>
        <w:t>This flowchart covers the end-to-end prediction pipeline triggered when an authenticated user submits a ticker symbol and interval. First, the app checks whether the four model artefacts for the requested (ticker, interval) combination exist locally in Saved Models/: lr_model_{T}[_1h].pkl, rf_model_{T}[_1h].pkl, scaler_sklearn_{T}[_1h].pkl, and feature_cols_sklearn_{T}[_1h].pkl. If any file is missing, a download from the Azure Blob Storage container trained-models is attempted. Once artefacts are confirmed, the predictor fetches live OHLCV data via the yfinance API — 6 months of daily data for the 1d interval or 730 days of hourly data for 1h. For NDX, the ticker is mapped to the ^NDX yfinance symbol. The build_features() function applies _add_base_ta() to produce the 45 daily features, and additionally calls _add_intraday_ict() for the 1h interval to produce 55 features. The latest row is extracted, scaled with the ticker-specific MinMaxScaler, and passed to LR (which predicts Next_Close price) and RF (which predicts Next_Return %). The RF percentage return is converted to a price. A confidence score, direction signal, chart data, and indicator values are assembled into a result dictionary and rendered on the results page.</w:t>
      </w:r>
    </w:p>
    <w:p>
      <w:pPr>
        <w:spacing w:before="160" w:after="80"/>
        <w:jc w:val="left"/>
      </w:pPr>
      <w:r>
        <w:rPr>
          <w:b/>
          <w:sz w:val="24"/>
        </w:rPr>
        <w:t>2.3.3 Triple-Fusion Signal Scoring Flowchart</w:t>
      </w:r>
    </w:p>
    <w:p>
      <w:pPr>
        <w:spacing w:before="120" w:after="80"/>
        <w:jc w:val="center"/>
        <w:shd w:val="clear" w:color="auto" w:fill="D9D9D9"/>
      </w:pPr>
      <w:r>
        <w:rPr>
          <w:i/>
          <w:color w:val="444444"/>
          <w:sz w:val="22"/>
        </w:rPr>
        <w:t>[ Figure 2.3.3 — Triple-Fusion Signal Flowchart ]</w:t>
      </w:r>
    </w:p>
    <w:p>
      <w:pPr>
        <w:spacing w:after="200"/>
        <w:jc w:val="center"/>
      </w:pPr>
      <w:r>
        <w:rPr>
          <w:i/>
          <w:sz w:val="20"/>
        </w:rPr>
        <w:t>Figure 2.3.3: Triple-fusion signal scoring flowchart (backtest.py / mt5_trading.py)</w:t>
      </w:r>
    </w:p>
    <w:p>
      <w:pPr>
        <w:spacing w:after="120" w:line="360" w:lineRule="exact"/>
        <w:jc w:val="both"/>
      </w:pPr>
      <w:r>
        <w:rPr>
          <w:sz w:val="24"/>
        </w:rPr>
        <w:t>The triple-fusion signal is the decision engine used in the backtesting module (backtest.py) and the live/paper trading engine (mt5_trading.py). The flowchart shows three sequential scoring layers applied to each bar. Layer 1 — ICT Gate: The system checks whether price is above the 200-period SMA, market structure is bullish (new 20-bar high above the prior 60-bar high), and EMA-12 is above EMA-26. If the gate is not satisfied, no trade is considered regardless of subsequent scores. Layer 2 — ICT Score: Points are accumulated from ICT features computed on the bar: Bullish Order Blocks (+2), Fair Value Gaps (+1), Liquidity Sweeps (+2), Premium/Discount zone position (+1 to +3), and Displacement candle (+1). The ICT score must reach at least 3 to proceed. Layer 3 — ML + Technical Confirmation: If LR and RF both agree on the up direction the score gains +2; disagreement subtracts 1. RSI, MACD, and EMA alignment in the same direction each add points; opposing signals subtract 1. A total fused score of 5 or above triggers a trade entry with SL = 1.5 × ATR-14 and TP = 2.5 × ATR-14, with a maximum hold of 10 bars.</w:t>
      </w:r>
    </w:p>
    <w:p>
      <w:pPr>
        <w:spacing w:before="160" w:after="80"/>
        <w:jc w:val="left"/>
      </w:pPr>
      <w:r>
        <w:rPr>
          <w:b/>
          <w:sz w:val="26"/>
        </w:rPr>
        <w:t>2.4 Data Flow Diagrams</w:t>
      </w:r>
    </w:p>
    <w:p>
      <w:pPr>
        <w:spacing w:before="120" w:after="80"/>
        <w:jc w:val="center"/>
        <w:shd w:val="clear" w:color="auto" w:fill="D9D9D9"/>
      </w:pPr>
      <w:r>
        <w:rPr>
          <w:i/>
          <w:color w:val="444444"/>
          <w:sz w:val="22"/>
        </w:rPr>
        <w:t>[ Figure 2.4.1 — Level 1 Data Flow Diagram ]</w:t>
      </w:r>
    </w:p>
    <w:p>
      <w:pPr>
        <w:spacing w:after="200"/>
        <w:jc w:val="center"/>
      </w:pPr>
      <w:r>
        <w:rPr>
          <w:i/>
          <w:sz w:val="20"/>
        </w:rPr>
        <w:t>Figure 2.4.1: Level 1 Data Flow Diagram</w:t>
      </w:r>
    </w:p>
    <w:p>
      <w:pPr>
        <w:spacing w:after="120" w:line="360" w:lineRule="exact"/>
        <w:jc w:val="both"/>
      </w:pPr>
      <w:r>
        <w:rPr>
          <w:sz w:val="24"/>
        </w:rPr>
        <w:t>The Level 1 Data Flow Diagram illustrates how the Stock Market Price Prediction System is divided into four main processes: User Authentication, Data Acquisition, Model Inference, and Dashboard Output. The authenticated user provides a ticker symbol and interval to the system. The Data Acquisition process maps the ticker to its yfinance symbol (e.g. NDX → ^NDX), fetches OHLCV bars from the external yfinance API (6 months for 1d, 730 days for 1h), and stores the raw data in memory. The Model Inference process reads pre-trained model artefacts from the Saved Models/ data store, falling back to the Azure Blob Storage container trained-models if local files are absent. It engineers 45 daily or 55 intraday features, scales them with the ticker-specific MinMaxScaler, and produces price predictions and a directional signal. The Dashboard Output process renders the prediction result, confidence score, technical indicator values, chart data, and as-of timestamp to the user's browser. The User Database (Data/users.db) is accessed exclusively by the Authentication process.</w:t>
      </w:r>
    </w:p>
    <w:p>
      <w:pPr>
        <w:spacing w:before="160" w:after="80"/>
        <w:jc w:val="left"/>
      </w:pPr>
      <w:r>
        <w:rPr>
          <w:b/>
          <w:sz w:val="26"/>
        </w:rPr>
        <w:t>2.5 Entity Relationship Diagram</w:t>
      </w:r>
    </w:p>
    <w:p>
      <w:pPr>
        <w:spacing w:before="120" w:after="80"/>
        <w:jc w:val="center"/>
        <w:shd w:val="clear" w:color="auto" w:fill="D9D9D9"/>
      </w:pPr>
      <w:r>
        <w:rPr>
          <w:i/>
          <w:color w:val="444444"/>
          <w:sz w:val="22"/>
        </w:rPr>
        <w:t>[ Figure 2.5.1 — Entity Relationship Diagram ]</w:t>
      </w:r>
    </w:p>
    <w:p>
      <w:pPr>
        <w:spacing w:after="200"/>
        <w:jc w:val="center"/>
      </w:pPr>
      <w:r>
        <w:rPr>
          <w:i/>
          <w:sz w:val="20"/>
        </w:rPr>
        <w:t>Figure 2.5.1: Entity Relationship Diagram (ERD)</w:t>
      </w:r>
    </w:p>
    <w:p>
      <w:pPr>
        <w:spacing w:after="120" w:line="360" w:lineRule="exact"/>
        <w:jc w:val="both"/>
      </w:pPr>
      <w:r>
        <w:rPr>
          <w:sz w:val="24"/>
        </w:rPr>
        <w:t>The Entity Relationship Diagram represents the data-store structure of the Stock Market Price Prediction System. It consists of four main entities: User, Ticker, Model, and Prediction. The User entity stores authentication data: id (PK, auto-increment), username (unique, NOT NULL), password_hash (NOT NULL), subscription_tier (free / pro), and created_at (DATETIME, default CURRENT_TIMESTAMP). The Ticker entity represents a tradable instrument: symbol (PK, e.g. QQQ), name, yf_symbol (the actual yfinance lookup symbol, e.g. ^NDX for NDX), and supported_intervals (daily / 1h). The Model entity captures trained artefact metadata: model_id (PK), ticker_symbol (FK), interval (1d / 1h), model_type (LR / RF / LSTM), file_path in Saved Models/, n_features (45 for 1d, 55 for 1h), and trained_at date. The Prediction entity records each inference event: prediction_id (PK), user_id (FK), ticker_symbol (FK), interval, current_price, lr_prediction (Next_Close price), rf_prediction (derived from Next_Return %), lstm_prediction (N/A unless AAPL 1d), direction_signal (Up / Down), confidence, and predicted_at timestamp. One User can make many Predictions; one Ticker can have many Models and many Predictions; each Prediction belongs to exactly one User and one Ticker.</w:t>
      </w:r>
    </w:p>
    <w:p>
      <w:pPr>
        <w:spacing w:before="160" w:after="80"/>
        <w:jc w:val="left"/>
      </w:pPr>
      <w:r>
        <w:rPr>
          <w:b/>
          <w:sz w:val="26"/>
        </w:rPr>
        <w:t>2.6 Use Case Diagram</w:t>
      </w:r>
    </w:p>
    <w:p>
      <w:pPr>
        <w:spacing w:before="120" w:after="80"/>
        <w:jc w:val="center"/>
        <w:shd w:val="clear" w:color="auto" w:fill="D9D9D9"/>
      </w:pPr>
      <w:r>
        <w:rPr>
          <w:i/>
          <w:color w:val="444444"/>
          <w:sz w:val="22"/>
        </w:rPr>
        <w:t>[ Figure 2.6.1 — Use Case Diagram ]</w:t>
      </w:r>
    </w:p>
    <w:p>
      <w:pPr>
        <w:spacing w:after="200"/>
        <w:jc w:val="center"/>
      </w:pPr>
      <w:r>
        <w:rPr>
          <w:i/>
          <w:sz w:val="20"/>
        </w:rPr>
        <w:t>Figure 2.6.1: Use case diagram</w:t>
      </w:r>
    </w:p>
    <w:p>
      <w:pPr>
        <w:spacing w:after="120" w:line="360" w:lineRule="exact"/>
        <w:jc w:val="both"/>
      </w:pPr>
      <w:r>
        <w:rPr>
          <w:sz w:val="24"/>
        </w:rPr>
        <w:t>The use case diagram illustrates the interactions between the two user actor types — Free User and Pro User — and the system boundary. Both actor types share the following use cases: Register Account, Login / Logout, Select Ticker (from 9 supported instruments or any symbol), Select Interval (Daily 1d / Intraday 1h), View Next-Price Prediction (LR and RF), View Confidence Score and Direction Signal, View Technical Indicators (RSI, MACD, Bollinger Bands, SMA-7, SMA-21), and View TradingView Live Chart. The Pro User actor additionally has access to: Connect MT5 / MetaApi Account, Run Automated Trading Engine, Monitor Open Positions and Running P&amp;L, Configure Risk Parameters (stop loss, take profit, daily loss limit, max positions), and View Triple-Fusion Signal Score in real time. Two external actors are shown outside the system boundary: the yfinance API (data source for all OHLCV fetches) and Azure Blob Storage (fallback model repository).</w:t>
      </w:r>
    </w:p>
    <w:p>
      <w:pPr>
        <w:spacing w:before="160" w:after="80"/>
        <w:jc w:val="left"/>
      </w:pPr>
      <w:r>
        <w:rPr>
          <w:b/>
          <w:sz w:val="26"/>
        </w:rPr>
        <w:t>2.7 Class Diagram</w:t>
      </w:r>
    </w:p>
    <w:p>
      <w:pPr>
        <w:spacing w:before="120" w:after="80"/>
        <w:jc w:val="center"/>
        <w:shd w:val="clear" w:color="auto" w:fill="D9D9D9"/>
      </w:pPr>
      <w:r>
        <w:rPr>
          <w:i/>
          <w:color w:val="444444"/>
          <w:sz w:val="22"/>
        </w:rPr>
        <w:t>[ Figure 2.7.1 — Class Diagram ]</w:t>
      </w:r>
    </w:p>
    <w:p>
      <w:pPr>
        <w:spacing w:after="200"/>
        <w:jc w:val="center"/>
      </w:pPr>
      <w:r>
        <w:rPr>
          <w:i/>
          <w:sz w:val="20"/>
        </w:rPr>
        <w:t>Figure 2.7.1: Class diagram</w:t>
      </w:r>
    </w:p>
    <w:p>
      <w:pPr>
        <w:spacing w:after="120" w:line="360" w:lineRule="exact"/>
        <w:jc w:val="both"/>
      </w:pPr>
      <w:r>
        <w:rPr>
          <w:sz w:val="24"/>
        </w:rPr>
        <w:t>The class diagram shows the main modules and their relationships within the Stock Market Price Prediction System. The FlaskApp class (app.py) is the central controller. It maintains a per-(ticker, interval) model cache (dict), a _metrics counter for monitoring, and references to the Predictor and AzureStorage services. Key methods: predict(ticker, interval), api_predict(ticker), health_check(), and metrics(). Routes are protected by @login_required and accept an 'interval' query parameter (default '1d'). The Predictor class (predictor.py) encapsulates the ML inference pipeline. Attributes: lr_model, rf_model, scaler, feature_cols, and _model_cache (keyed by (ticker, interval) tuple). Methods: run_prediction(ticker, interval) returns the full result dict; ml_signal(ticker, interval) returns a compact BUY/SELL/HOLD dict for the trading engine; build_features(df, interval) calls _add_base_ta() for 45 daily features and additionally _add_intraday_ict() for 10 extra intraday features (55 total for 1h). The Auth class (auth.py) manages user persistence against Data/users.db. Methods: init_db(), create_user(username, password) → bool, verify_user(username, password) → bool. The AzureStorage class (azure_storage.py) wraps the Azure SDK. Methods: upload_models_to_azure(ticker), download_models_from_azure(ticker), list_models_in_azure(), azure_enabled(). Container: trained-models. The TradingEngine class (mt5_trading.py) implements the triple-fusion signal and order management. It holds a Predictor reference and MetaApi / MT5 connection. Methods: run(), open_trade(), close_trade(), check_risk_limits(). Relationships: FlaskApp composes Predictor, uses AzureStorage and Auth; TradingEngine associates with Predictor.</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