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0B42F">
      <w:pPr>
        <w:spacing w:before="1956" w:beforeLines="600"/>
        <w:ind w:firstLine="0" w:firstLineChars="0"/>
        <w:jc w:val="center"/>
        <w:rPr>
          <w:b/>
          <w:bCs/>
          <w:sz w:val="52"/>
        </w:rPr>
      </w:pPr>
      <w:r>
        <w:rPr>
          <w:rFonts w:hint="eastAsia"/>
          <w:b/>
          <w:bCs/>
          <w:sz w:val="52"/>
        </w:rPr>
        <w:t>绿色转型背景下川能动力</w:t>
      </w:r>
    </w:p>
    <w:p w14:paraId="415D4D42">
      <w:pPr>
        <w:spacing w:after="1956" w:afterLines="600"/>
        <w:ind w:firstLine="0" w:firstLineChars="0"/>
        <w:jc w:val="center"/>
        <w:rPr>
          <w:b/>
          <w:bCs/>
          <w:sz w:val="52"/>
        </w:rPr>
      </w:pPr>
      <w:r>
        <w:rPr>
          <w:rFonts w:hint="eastAsia"/>
          <w:b/>
          <w:bCs/>
          <w:sz w:val="52"/>
        </w:rPr>
        <w:t>财务绩效研究</w:t>
      </w:r>
    </w:p>
    <w:p w14:paraId="3369C32E">
      <w:pPr>
        <w:spacing w:after="652" w:afterLines="200"/>
        <w:ind w:firstLine="1084" w:firstLineChars="300"/>
        <w:rPr>
          <w:b/>
          <w:bCs/>
          <w:sz w:val="36"/>
          <w:u w:val="single"/>
        </w:rPr>
      </w:pPr>
      <w:r>
        <w:rPr>
          <w:b/>
          <w:bCs/>
          <w:sz w:val="36"/>
        </w:rPr>
        <w:t>系    别：</w:t>
      </w:r>
      <w:r>
        <w:rPr>
          <w:b/>
          <w:bCs/>
          <w:sz w:val="36"/>
          <w:u w:val="single"/>
        </w:rPr>
        <w:t xml:space="preserve">    </w:t>
      </w:r>
      <w:r>
        <w:rPr>
          <w:rFonts w:hint="eastAsia"/>
          <w:b/>
          <w:bCs/>
          <w:sz w:val="36"/>
          <w:u w:val="single"/>
        </w:rPr>
        <w:t xml:space="preserve"> 经济管理系</w:t>
      </w:r>
      <w:r>
        <w:rPr>
          <w:b/>
          <w:bCs/>
          <w:sz w:val="36"/>
          <w:u w:val="single"/>
        </w:rPr>
        <w:t xml:space="preserve">    </w:t>
      </w:r>
      <w:r>
        <w:rPr>
          <w:rFonts w:hint="eastAsia"/>
          <w:b/>
          <w:bCs/>
          <w:sz w:val="36"/>
          <w:u w:val="single"/>
        </w:rPr>
        <w:t xml:space="preserve">  </w:t>
      </w:r>
    </w:p>
    <w:p w14:paraId="7B718C41">
      <w:pPr>
        <w:spacing w:after="652" w:afterLines="200"/>
        <w:ind w:firstLine="1084" w:firstLineChars="300"/>
        <w:rPr>
          <w:b/>
          <w:bCs/>
          <w:sz w:val="36"/>
          <w:u w:val="single"/>
        </w:rPr>
      </w:pPr>
      <w:r>
        <w:rPr>
          <w:b/>
          <w:bCs/>
          <w:sz w:val="36"/>
        </w:rPr>
        <w:t>专    业：</w:t>
      </w:r>
      <w:r>
        <w:rPr>
          <w:b/>
          <w:bCs/>
          <w:sz w:val="36"/>
          <w:u w:val="single"/>
        </w:rPr>
        <w:t xml:space="preserve">      </w:t>
      </w:r>
      <w:r>
        <w:rPr>
          <w:rFonts w:hint="eastAsia"/>
          <w:b/>
          <w:bCs/>
          <w:sz w:val="36"/>
          <w:u w:val="single"/>
        </w:rPr>
        <w:t>财务管理</w:t>
      </w:r>
      <w:r>
        <w:rPr>
          <w:b/>
          <w:bCs/>
          <w:sz w:val="36"/>
          <w:u w:val="single"/>
        </w:rPr>
        <w:t xml:space="preserve">      </w:t>
      </w:r>
      <w:r>
        <w:rPr>
          <w:rFonts w:hint="eastAsia"/>
          <w:b/>
          <w:bCs/>
          <w:sz w:val="36"/>
          <w:u w:val="single"/>
        </w:rPr>
        <w:t xml:space="preserve"> </w:t>
      </w:r>
    </w:p>
    <w:p w14:paraId="4E1EA3EE">
      <w:pPr>
        <w:spacing w:after="652" w:afterLines="200"/>
        <w:ind w:firstLine="1084" w:firstLineChars="300"/>
        <w:rPr>
          <w:b/>
          <w:bCs/>
          <w:sz w:val="36"/>
          <w:u w:val="single"/>
        </w:rPr>
      </w:pPr>
      <w:r>
        <w:rPr>
          <w:b/>
          <w:bCs/>
          <w:sz w:val="36"/>
        </w:rPr>
        <w:t>姓    名：</w:t>
      </w:r>
      <w:r>
        <w:rPr>
          <w:b/>
          <w:bCs/>
          <w:sz w:val="36"/>
          <w:u w:val="single"/>
        </w:rPr>
        <w:t xml:space="preserve">       </w:t>
      </w:r>
      <w:r>
        <w:rPr>
          <w:rFonts w:hint="eastAsia"/>
          <w:b/>
          <w:bCs/>
          <w:sz w:val="36"/>
          <w:u w:val="single"/>
        </w:rPr>
        <w:t>王淑雯</w:t>
      </w:r>
      <w:r>
        <w:rPr>
          <w:b/>
          <w:bCs/>
          <w:sz w:val="36"/>
          <w:u w:val="single"/>
        </w:rPr>
        <w:t xml:space="preserve">       </w:t>
      </w:r>
      <w:r>
        <w:rPr>
          <w:rFonts w:hint="eastAsia"/>
          <w:b/>
          <w:bCs/>
          <w:sz w:val="36"/>
          <w:u w:val="single"/>
        </w:rPr>
        <w:t xml:space="preserve"> </w:t>
      </w:r>
    </w:p>
    <w:p w14:paraId="0883C74B">
      <w:pPr>
        <w:spacing w:after="652" w:afterLines="200"/>
        <w:ind w:firstLine="1084" w:firstLineChars="300"/>
        <w:rPr>
          <w:b/>
          <w:bCs/>
          <w:sz w:val="36"/>
        </w:rPr>
      </w:pPr>
      <w:r>
        <w:rPr>
          <w:b/>
          <w:bCs/>
          <w:sz w:val="36"/>
        </w:rPr>
        <w:t>指导教师：</w:t>
      </w:r>
      <w:r>
        <w:rPr>
          <w:b/>
          <w:bCs/>
          <w:sz w:val="36"/>
          <w:u w:val="single"/>
        </w:rPr>
        <w:t xml:space="preserve">       </w:t>
      </w:r>
      <w:r>
        <w:rPr>
          <w:rFonts w:hint="eastAsia"/>
          <w:b/>
          <w:bCs/>
          <w:sz w:val="36"/>
          <w:u w:val="single"/>
        </w:rPr>
        <w:t>田东伶</w:t>
      </w:r>
      <w:r>
        <w:rPr>
          <w:b/>
          <w:bCs/>
          <w:sz w:val="36"/>
          <w:u w:val="single"/>
        </w:rPr>
        <w:t xml:space="preserve">       </w:t>
      </w:r>
      <w:r>
        <w:rPr>
          <w:rFonts w:hint="eastAsia"/>
          <w:b/>
          <w:bCs/>
          <w:sz w:val="36"/>
          <w:u w:val="single"/>
        </w:rPr>
        <w:t xml:space="preserve"> </w:t>
      </w:r>
    </w:p>
    <w:p w14:paraId="428135F4">
      <w:pPr>
        <w:spacing w:before="1304" w:beforeLines="400" w:after="652" w:afterLines="200"/>
        <w:ind w:firstLine="0" w:firstLineChars="0"/>
        <w:jc w:val="center"/>
        <w:rPr>
          <w:b/>
          <w:bCs/>
          <w:sz w:val="36"/>
        </w:rPr>
      </w:pPr>
      <w:r>
        <w:rPr>
          <w:b/>
          <w:bCs/>
          <w:sz w:val="36"/>
        </w:rPr>
        <w:t>运  城  学  院</w:t>
      </w:r>
    </w:p>
    <w:p w14:paraId="71FFA3D6">
      <w:pPr>
        <w:ind w:firstLine="0" w:firstLineChars="0"/>
        <w:jc w:val="center"/>
        <w:rPr>
          <w:b/>
          <w:bCs/>
          <w:sz w:val="30"/>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cols w:space="720" w:num="1"/>
          <w:titlePg/>
          <w:docGrid w:type="lines" w:linePitch="326" w:charSpace="0"/>
        </w:sectPr>
      </w:pPr>
      <w:r>
        <w:rPr>
          <w:b/>
          <w:bCs/>
          <w:sz w:val="30"/>
        </w:rPr>
        <w:t>202</w:t>
      </w:r>
      <w:r>
        <w:rPr>
          <w:rFonts w:hint="eastAsia"/>
          <w:b/>
          <w:bCs/>
          <w:sz w:val="30"/>
        </w:rPr>
        <w:t>6</w:t>
      </w:r>
      <w:r>
        <w:rPr>
          <w:b/>
          <w:bCs/>
          <w:sz w:val="30"/>
        </w:rPr>
        <w:t>年5月</w:t>
      </w:r>
    </w:p>
    <w:p w14:paraId="773D2C8B">
      <w:pPr>
        <w:spacing w:before="326" w:beforeLines="100" w:after="326" w:afterLines="100"/>
        <w:ind w:firstLine="0" w:firstLineChars="0"/>
        <w:jc w:val="center"/>
        <w:rPr>
          <w:rFonts w:hint="eastAsia" w:ascii="黑体" w:hAnsi="黑体" w:eastAsia="黑体" w:cs="黑体"/>
          <w:sz w:val="36"/>
          <w:szCs w:val="44"/>
        </w:rPr>
      </w:pPr>
      <w:bookmarkStart w:id="0" w:name="OLE_LINK86"/>
      <w:bookmarkStart w:id="1" w:name="_Toc19767"/>
      <w:r>
        <w:rPr>
          <w:rFonts w:hint="eastAsia" w:ascii="黑体" w:hAnsi="黑体" w:eastAsia="黑体" w:cs="黑体"/>
          <w:sz w:val="36"/>
          <w:szCs w:val="44"/>
        </w:rPr>
        <w:t>绿色转型背景下川能动力财务绩效研究</w:t>
      </w:r>
      <w:bookmarkEnd w:id="0"/>
    </w:p>
    <w:bookmarkEnd w:id="1"/>
    <w:p w14:paraId="00E2CE9B">
      <w:pPr>
        <w:ind w:firstLine="0" w:firstLineChars="0"/>
      </w:pPr>
      <w:r>
        <w:rPr>
          <w:b/>
          <w:bCs/>
        </w:rPr>
        <w:t>摘要：</w:t>
      </w:r>
      <w:bookmarkStart w:id="2" w:name="OLE_LINK49"/>
      <w:bookmarkStart w:id="3" w:name="OLE_LINK83"/>
      <w:r>
        <w:rPr>
          <w:rFonts w:ascii="Segoe UI" w:hAnsi="Segoe UI" w:cs="Segoe UI"/>
          <w:color w:val="0F1115"/>
          <w:shd w:val="clear" w:color="auto" w:fill="FFFFFF"/>
        </w:rPr>
        <w:t>随着</w:t>
      </w:r>
      <w:r>
        <w:rPr>
          <w:rFonts w:hint="eastAsia" w:ascii="Segoe UI" w:hAnsi="Segoe UI" w:cs="Segoe UI"/>
          <w:color w:val="0F1115"/>
          <w:shd w:val="clear" w:color="auto" w:fill="FFFFFF"/>
        </w:rPr>
        <w:t>“</w:t>
      </w:r>
      <w:r>
        <w:rPr>
          <w:rFonts w:ascii="Segoe UI" w:hAnsi="Segoe UI" w:cs="Segoe UI"/>
          <w:color w:val="0F1115"/>
          <w:shd w:val="clear" w:color="auto" w:fill="FFFFFF"/>
        </w:rPr>
        <w:t>双碳</w:t>
      </w:r>
      <w:r>
        <w:rPr>
          <w:rFonts w:hint="eastAsia" w:ascii="Segoe UI" w:hAnsi="Segoe UI" w:cs="Segoe UI"/>
          <w:color w:val="0F1115"/>
          <w:shd w:val="clear" w:color="auto" w:fill="FFFFFF"/>
        </w:rPr>
        <w:t>”</w:t>
      </w:r>
      <w:bookmarkStart w:id="4" w:name="OLE_LINK87"/>
      <w:r>
        <w:rPr>
          <w:rFonts w:ascii="Segoe UI" w:hAnsi="Segoe UI" w:cs="Segoe UI"/>
          <w:color w:val="0F1115"/>
          <w:shd w:val="clear" w:color="auto" w:fill="FFFFFF"/>
        </w:rPr>
        <w:t>目标的提出，</w:t>
      </w:r>
      <w:r>
        <w:rPr>
          <w:rFonts w:hint="eastAsia" w:ascii="Segoe UI" w:hAnsi="Segoe UI" w:cs="Segoe UI"/>
          <w:color w:val="0F1115"/>
          <w:shd w:val="clear" w:color="auto" w:fill="FFFFFF"/>
        </w:rPr>
        <w:t>许多</w:t>
      </w:r>
      <w:r>
        <w:rPr>
          <w:rFonts w:ascii="Segoe UI" w:hAnsi="Segoe UI" w:cs="Segoe UI"/>
          <w:color w:val="0F1115"/>
          <w:shd w:val="clear" w:color="auto" w:fill="FFFFFF"/>
        </w:rPr>
        <w:t>传统重污染企业加快向新能源领域</w:t>
      </w:r>
      <w:r>
        <w:rPr>
          <w:rFonts w:hint="eastAsia" w:ascii="Segoe UI" w:hAnsi="Segoe UI" w:cs="Segoe UI"/>
          <w:color w:val="0F1115"/>
          <w:shd w:val="clear" w:color="auto" w:fill="FFFFFF"/>
        </w:rPr>
        <w:t>绿色</w:t>
      </w:r>
      <w:r>
        <w:rPr>
          <w:rFonts w:ascii="Segoe UI" w:hAnsi="Segoe UI" w:cs="Segoe UI"/>
          <w:color w:val="0F1115"/>
          <w:shd w:val="clear" w:color="auto" w:fill="FFFFFF"/>
        </w:rPr>
        <w:t>转型</w:t>
      </w:r>
      <w:bookmarkEnd w:id="2"/>
      <w:r>
        <w:rPr>
          <w:rFonts w:hint="eastAsia" w:ascii="Segoe UI" w:hAnsi="Segoe UI" w:cs="Segoe UI"/>
          <w:color w:val="0F1115"/>
          <w:shd w:val="clear" w:color="auto" w:fill="FFFFFF"/>
        </w:rPr>
        <w:t>，</w:t>
      </w:r>
      <w:r>
        <w:rPr>
          <w:rFonts w:ascii="Segoe UI" w:hAnsi="Segoe UI" w:cs="Segoe UI"/>
          <w:color w:val="0F1115"/>
          <w:shd w:val="clear" w:color="auto" w:fill="FFFFFF"/>
        </w:rPr>
        <w:t>绿色转型过程中企</w:t>
      </w:r>
      <w:bookmarkStart w:id="5" w:name="OLE_LINK52"/>
      <w:r>
        <w:rPr>
          <w:rFonts w:ascii="Segoe UI" w:hAnsi="Segoe UI" w:cs="Segoe UI"/>
          <w:color w:val="0F1115"/>
          <w:shd w:val="clear" w:color="auto" w:fill="FFFFFF"/>
        </w:rPr>
        <w:t>业的</w:t>
      </w:r>
      <w:bookmarkEnd w:id="5"/>
      <w:r>
        <w:rPr>
          <w:rFonts w:ascii="Segoe UI" w:hAnsi="Segoe UI" w:cs="Segoe UI"/>
          <w:color w:val="0F1115"/>
          <w:shd w:val="clear" w:color="auto" w:fill="FFFFFF"/>
        </w:rPr>
        <w:t>资产结构、业务模式和收入来源</w:t>
      </w:r>
      <w:r>
        <w:rPr>
          <w:rFonts w:hint="eastAsia" w:ascii="Segoe UI" w:hAnsi="Segoe UI" w:cs="Segoe UI"/>
          <w:color w:val="0F1115"/>
          <w:shd w:val="clear" w:color="auto" w:fill="FFFFFF"/>
        </w:rPr>
        <w:t>会</w:t>
      </w:r>
      <w:r>
        <w:rPr>
          <w:rFonts w:ascii="Segoe UI" w:hAnsi="Segoe UI" w:cs="Segoe UI"/>
          <w:color w:val="0F1115"/>
          <w:shd w:val="clear" w:color="auto" w:fill="FFFFFF"/>
        </w:rPr>
        <w:t>发生变化，财务绩效也随之出现波动。</w:t>
      </w:r>
      <w:r>
        <w:rPr>
          <w:rFonts w:hint="eastAsia" w:ascii="Segoe UI" w:hAnsi="Segoe UI" w:cs="Segoe UI"/>
          <w:color w:val="0F1115"/>
          <w:shd w:val="clear" w:color="auto" w:fill="FFFFFF"/>
        </w:rPr>
        <w:t>因此，</w:t>
      </w:r>
      <w:r>
        <w:rPr>
          <w:rFonts w:hint="eastAsia"/>
        </w:rPr>
        <w:t>本文从偿债能力、营运能力、盈利能力和发展能力四个维度</w:t>
      </w:r>
      <w:r>
        <w:rPr>
          <w:rFonts w:hint="eastAsia" w:ascii="Segoe UI" w:hAnsi="Segoe UI" w:cs="Segoe UI"/>
          <w:color w:val="0F1115"/>
          <w:shd w:val="clear" w:color="auto" w:fill="FFFFFF"/>
        </w:rPr>
        <w:t>选取</w:t>
      </w:r>
      <w:r>
        <w:rPr>
          <w:rFonts w:hint="eastAsia"/>
        </w:rPr>
        <w:t>8</w:t>
      </w:r>
      <w:r>
        <w:rPr>
          <w:rFonts w:hint="eastAsia" w:ascii="Segoe UI" w:hAnsi="Segoe UI" w:cs="Segoe UI"/>
          <w:color w:val="0F1115"/>
          <w:shd w:val="clear" w:color="auto" w:fill="FFFFFF"/>
        </w:rPr>
        <w:t>项财务指标，</w:t>
      </w:r>
      <w:r>
        <w:rPr>
          <w:rFonts w:hint="eastAsia"/>
        </w:rPr>
        <w:t>运用熵值法对川能动力</w:t>
      </w:r>
      <w:bookmarkStart w:id="6" w:name="OLE_LINK81"/>
      <w:r>
        <w:rPr>
          <w:rFonts w:hint="eastAsia"/>
        </w:rPr>
        <w:t>2017-2025</w:t>
      </w:r>
      <w:bookmarkEnd w:id="6"/>
      <w:r>
        <w:rPr>
          <w:rFonts w:hint="eastAsia"/>
        </w:rPr>
        <w:t>年的财务绩效进</w:t>
      </w:r>
      <w:bookmarkEnd w:id="4"/>
      <w:r>
        <w:rPr>
          <w:rFonts w:hint="eastAsia"/>
        </w:rPr>
        <w:t>行分析与评价，并从中发现</w:t>
      </w:r>
      <w:r>
        <w:rPr>
          <w:rFonts w:hint="eastAsia" w:ascii="Segoe UI" w:hAnsi="Segoe UI" w:cs="Segoe UI"/>
          <w:color w:val="0F1115"/>
          <w:shd w:val="clear" w:color="auto" w:fill="FFFFFF"/>
        </w:rPr>
        <w:t>川能动力在绿色转型过程中存在</w:t>
      </w:r>
      <w:r>
        <w:rPr>
          <w:rFonts w:ascii="Segoe UI" w:hAnsi="Segoe UI" w:cs="Segoe UI"/>
          <w:color w:val="0F1115"/>
          <w:shd w:val="clear" w:color="auto" w:fill="FFFFFF"/>
        </w:rPr>
        <w:t>应收账款</w:t>
      </w:r>
      <w:r>
        <w:rPr>
          <w:rFonts w:hint="eastAsia" w:ascii="Segoe UI" w:hAnsi="Segoe UI" w:cs="Segoe UI"/>
          <w:color w:val="0F1115"/>
          <w:shd w:val="clear" w:color="auto" w:fill="FFFFFF"/>
        </w:rPr>
        <w:t>回款缓慢</w:t>
      </w:r>
      <w:r>
        <w:rPr>
          <w:rFonts w:ascii="Segoe UI" w:hAnsi="Segoe UI" w:cs="Segoe UI"/>
          <w:color w:val="0F1115"/>
          <w:shd w:val="clear" w:color="auto" w:fill="FFFFFF"/>
        </w:rPr>
        <w:t>、</w:t>
      </w:r>
      <w:r>
        <w:rPr>
          <w:rFonts w:hint="eastAsia" w:ascii="Segoe UI" w:hAnsi="Segoe UI" w:cs="Segoe UI"/>
          <w:color w:val="0F1115"/>
          <w:shd w:val="clear" w:color="auto" w:fill="FFFFFF"/>
        </w:rPr>
        <w:t>总资产周转率偏低</w:t>
      </w:r>
      <w:r>
        <w:rPr>
          <w:rFonts w:ascii="Segoe UI" w:hAnsi="Segoe UI" w:cs="Segoe UI"/>
          <w:color w:val="0F1115"/>
          <w:shd w:val="clear" w:color="auto" w:fill="FFFFFF"/>
        </w:rPr>
        <w:t>、</w:t>
      </w:r>
      <w:r>
        <w:rPr>
          <w:rFonts w:hint="eastAsia" w:ascii="Segoe UI" w:hAnsi="Segoe UI" w:cs="Segoe UI"/>
          <w:color w:val="0F1115"/>
          <w:shd w:val="clear" w:color="auto" w:fill="FFFFFF"/>
        </w:rPr>
        <w:t>业务结构单一等问题。针对上述问题，提出加强应收账款管理、提高资产使用效率和优化业务结构等建议，为其他处于绿色转型期的企业提供借鉴。</w:t>
      </w:r>
      <w:bookmarkEnd w:id="3"/>
    </w:p>
    <w:p w14:paraId="181CB866">
      <w:pPr>
        <w:spacing w:before="163" w:beforeLines="50" w:line="300" w:lineRule="auto"/>
        <w:ind w:firstLine="0" w:firstLineChars="0"/>
        <w:rPr>
          <w:b/>
          <w:bCs/>
          <w:color w:val="C00000"/>
        </w:rPr>
      </w:pPr>
      <w:r>
        <w:rPr>
          <w:b/>
          <w:bCs/>
        </w:rPr>
        <w:t>关键词：</w:t>
      </w:r>
      <w:r>
        <w:rPr>
          <w:rFonts w:hint="eastAsia"/>
        </w:rPr>
        <w:t>绿色转型；熵值法；财务绩效</w:t>
      </w:r>
    </w:p>
    <w:p w14:paraId="20DADB5A">
      <w:pPr>
        <w:spacing w:line="400" w:lineRule="exact"/>
        <w:ind w:firstLine="480"/>
        <w:jc w:val="left"/>
      </w:pPr>
    </w:p>
    <w:p w14:paraId="071DD6D1">
      <w:pPr>
        <w:ind w:firstLine="480"/>
      </w:pPr>
      <w:r>
        <w:br w:type="page"/>
      </w:r>
    </w:p>
    <w:p w14:paraId="7384D14F">
      <w:pPr>
        <w:spacing w:before="326" w:beforeLines="100"/>
        <w:ind w:firstLine="0" w:firstLineChars="0"/>
        <w:jc w:val="center"/>
        <w:rPr>
          <w:rFonts w:eastAsia="黑体"/>
          <w:b/>
          <w:sz w:val="32"/>
          <w:szCs w:val="32"/>
        </w:rPr>
      </w:pPr>
      <w:bookmarkStart w:id="7" w:name="OLE_LINK180"/>
      <w:bookmarkStart w:id="8" w:name="OLE_LINK181"/>
      <w:bookmarkStart w:id="9" w:name="OLE_LINK185"/>
      <w:bookmarkStart w:id="10" w:name="OLE_LINK188"/>
      <w:r>
        <w:rPr>
          <w:rFonts w:eastAsia="黑体"/>
          <w:b/>
          <w:sz w:val="32"/>
          <w:szCs w:val="32"/>
        </w:rPr>
        <w:t>Financial Performance of Chuan Neng</w:t>
      </w:r>
      <w:bookmarkEnd w:id="7"/>
      <w:r>
        <w:rPr>
          <w:rFonts w:eastAsia="黑体"/>
          <w:b/>
          <w:sz w:val="32"/>
          <w:szCs w:val="32"/>
        </w:rPr>
        <w:t xml:space="preserve"> </w:t>
      </w:r>
      <w:bookmarkEnd w:id="8"/>
      <w:r>
        <w:rPr>
          <w:rFonts w:eastAsia="黑体"/>
          <w:b/>
          <w:sz w:val="32"/>
          <w:szCs w:val="32"/>
        </w:rPr>
        <w:t>Power</w:t>
      </w:r>
      <w:bookmarkEnd w:id="9"/>
      <w:r>
        <w:rPr>
          <w:rFonts w:eastAsia="黑体"/>
          <w:b/>
          <w:sz w:val="32"/>
          <w:szCs w:val="32"/>
        </w:rPr>
        <w:t xml:space="preserve"> </w:t>
      </w:r>
    </w:p>
    <w:bookmarkEnd w:id="10"/>
    <w:p w14:paraId="1EC6B3DB">
      <w:pPr>
        <w:spacing w:after="326" w:afterLines="100"/>
        <w:ind w:firstLine="0" w:firstLineChars="0"/>
        <w:jc w:val="center"/>
        <w:rPr>
          <w:rFonts w:eastAsia="黑体"/>
          <w:b/>
          <w:sz w:val="32"/>
          <w:szCs w:val="32"/>
        </w:rPr>
      </w:pPr>
      <w:bookmarkStart w:id="11" w:name="OLE_LINK196"/>
      <w:r>
        <w:rPr>
          <w:rFonts w:eastAsia="黑体"/>
          <w:b/>
          <w:sz w:val="32"/>
          <w:szCs w:val="32"/>
        </w:rPr>
        <w:t>under the Background of Green Transformation</w:t>
      </w:r>
    </w:p>
    <w:bookmarkEnd w:id="11"/>
    <w:p w14:paraId="47EEA2ED">
      <w:pPr>
        <w:spacing w:before="326" w:beforeLines="100"/>
        <w:ind w:firstLine="0" w:firstLineChars="0"/>
      </w:pPr>
      <w:r>
        <w:rPr>
          <w:b/>
          <w:bCs/>
        </w:rPr>
        <w:t>Abstract:</w:t>
      </w:r>
      <w:r>
        <w:t xml:space="preserve"> With the proposal of the " double carbon " goal, many traditional heavy polluting enterprises have accelerated the green transformation to the new energy field. In the process of green transformation, the asset structure, business model and income source of enterprises will change, and the financial performance will also fluctuate. Therefore, this paper selects 8 financial indicators from the four dimensions of solvency, operating capacity, profitability and development capacity, and uses the entropy method to analyze and evaluate the financial performance of Chuan</w:t>
      </w:r>
      <w:r>
        <w:rPr>
          <w:rFonts w:hint="eastAsia"/>
        </w:rPr>
        <w:t xml:space="preserve"> N</w:t>
      </w:r>
      <w:r>
        <w:t>eng Power from 2017 to 2025, and finds that Chuan</w:t>
      </w:r>
      <w:r>
        <w:rPr>
          <w:rFonts w:hint="eastAsia"/>
        </w:rPr>
        <w:t xml:space="preserve"> N</w:t>
      </w:r>
      <w:r>
        <w:t>eng Power has problems such as slow accounts receivable repayment, low total asset turnover, and single business structure in the process of green transformation. In view of the above problems, it is proposed to strengthen the management of accounts receivable, improve the efficiency of asset use and optimize the business structure, so as to provide reference for other enterprises in the green transition period.</w:t>
      </w:r>
    </w:p>
    <w:p w14:paraId="28ED2F6F">
      <w:pPr>
        <w:spacing w:before="163" w:beforeLines="50" w:line="400" w:lineRule="exact"/>
        <w:ind w:firstLine="0" w:firstLineChars="0"/>
      </w:pPr>
      <w:r>
        <w:rPr>
          <w:b/>
          <w:bCs/>
        </w:rPr>
        <w:t>Key words:</w:t>
      </w:r>
      <w:r>
        <w:rPr>
          <w:rFonts w:ascii="Segoe UI" w:hAnsi="Segoe UI" w:cs="Segoe UI"/>
          <w:color w:val="0F1115"/>
          <w:shd w:val="clear" w:color="auto" w:fill="FFFFFF"/>
        </w:rPr>
        <w:t xml:space="preserve"> </w:t>
      </w:r>
      <w:r>
        <w:rPr>
          <w:rStyle w:val="22"/>
          <w:b w:val="0"/>
          <w:bCs w:val="0"/>
          <w:color w:val="0F1115"/>
          <w:shd w:val="clear" w:color="auto" w:fill="FFFFFF"/>
        </w:rPr>
        <w:t xml:space="preserve">Green </w:t>
      </w:r>
      <w:r>
        <w:rPr>
          <w:rStyle w:val="22"/>
          <w:rFonts w:hint="eastAsia"/>
          <w:b w:val="0"/>
          <w:bCs w:val="0"/>
          <w:color w:val="0F1115"/>
          <w:shd w:val="clear" w:color="auto" w:fill="FFFFFF"/>
        </w:rPr>
        <w:t>t</w:t>
      </w:r>
      <w:r>
        <w:rPr>
          <w:rStyle w:val="22"/>
          <w:b w:val="0"/>
          <w:bCs w:val="0"/>
          <w:color w:val="0F1115"/>
          <w:shd w:val="clear" w:color="auto" w:fill="FFFFFF"/>
        </w:rPr>
        <w:t>ransformation</w:t>
      </w:r>
      <w:r>
        <w:t>;</w:t>
      </w:r>
      <w:r>
        <w:rPr>
          <w:color w:val="0F1115"/>
          <w:shd w:val="clear" w:color="auto" w:fill="FFFFFF"/>
        </w:rPr>
        <w:t xml:space="preserve"> </w:t>
      </w:r>
      <w:r>
        <w:rPr>
          <w:rStyle w:val="22"/>
          <w:b w:val="0"/>
          <w:bCs w:val="0"/>
          <w:color w:val="0F1115"/>
          <w:shd w:val="clear" w:color="auto" w:fill="FFFFFF"/>
        </w:rPr>
        <w:t>E</w:t>
      </w:r>
      <w:bookmarkStart w:id="12" w:name="OLE_LINK84"/>
      <w:r>
        <w:rPr>
          <w:rStyle w:val="22"/>
          <w:b w:val="0"/>
          <w:bCs w:val="0"/>
          <w:color w:val="0F1115"/>
          <w:shd w:val="clear" w:color="auto" w:fill="FFFFFF"/>
        </w:rPr>
        <w:t>ntrop</w:t>
      </w:r>
      <w:bookmarkEnd w:id="12"/>
      <w:r>
        <w:rPr>
          <w:rStyle w:val="22"/>
          <w:b w:val="0"/>
          <w:bCs w:val="0"/>
          <w:color w:val="0F1115"/>
          <w:shd w:val="clear" w:color="auto" w:fill="FFFFFF"/>
        </w:rPr>
        <w:t xml:space="preserve">y </w:t>
      </w:r>
      <w:r>
        <w:rPr>
          <w:rStyle w:val="22"/>
          <w:rFonts w:hint="eastAsia"/>
          <w:b w:val="0"/>
          <w:bCs w:val="0"/>
          <w:color w:val="0F1115"/>
          <w:shd w:val="clear" w:color="auto" w:fill="FFFFFF"/>
        </w:rPr>
        <w:t>m</w:t>
      </w:r>
      <w:r>
        <w:rPr>
          <w:rStyle w:val="22"/>
          <w:b w:val="0"/>
          <w:bCs w:val="0"/>
          <w:color w:val="0F1115"/>
          <w:shd w:val="clear" w:color="auto" w:fill="FFFFFF"/>
        </w:rPr>
        <w:t>ethod</w:t>
      </w:r>
      <w:r>
        <w:t xml:space="preserve">; </w:t>
      </w:r>
      <w:r>
        <w:rPr>
          <w:rStyle w:val="22"/>
          <w:b w:val="0"/>
          <w:bCs w:val="0"/>
          <w:color w:val="0F1115"/>
          <w:shd w:val="clear" w:color="auto" w:fill="FFFFFF"/>
        </w:rPr>
        <w:t xml:space="preserve">Financial </w:t>
      </w:r>
      <w:r>
        <w:rPr>
          <w:rStyle w:val="22"/>
          <w:rFonts w:hint="eastAsia"/>
          <w:b w:val="0"/>
          <w:bCs w:val="0"/>
          <w:color w:val="0F1115"/>
          <w:shd w:val="clear" w:color="auto" w:fill="FFFFFF"/>
        </w:rPr>
        <w:t>p</w:t>
      </w:r>
      <w:r>
        <w:rPr>
          <w:rStyle w:val="22"/>
          <w:b w:val="0"/>
          <w:bCs w:val="0"/>
          <w:color w:val="0F1115"/>
          <w:shd w:val="clear" w:color="auto" w:fill="FFFFFF"/>
        </w:rPr>
        <w:t>erformance</w:t>
      </w:r>
    </w:p>
    <w:p w14:paraId="63DA0F54">
      <w:pPr>
        <w:ind w:firstLine="0" w:firstLineChars="0"/>
        <w:jc w:val="center"/>
      </w:pPr>
      <w:r>
        <w:br w:type="page"/>
      </w:r>
    </w:p>
    <w:sdt>
      <w:sdtPr>
        <w:rPr>
          <w:rFonts w:ascii="宋体" w:hAnsi="宋体"/>
          <w:b/>
          <w:bCs/>
          <w:sz w:val="30"/>
          <w:szCs w:val="30"/>
        </w:rPr>
        <w:id w:val="147468114"/>
        <w15:color w:val="DBDBDB"/>
        <w:docPartObj>
          <w:docPartGallery w:val="Table of Contents"/>
          <w:docPartUnique/>
        </w:docPartObj>
      </w:sdtPr>
      <w:sdtEndPr>
        <w:rPr>
          <w:rFonts w:hint="eastAsia" w:ascii="宋体" w:hAnsi="宋体" w:cs="宋体"/>
          <w:b/>
          <w:bCs w:val="0"/>
          <w:color w:val="FF0000"/>
          <w:sz w:val="24"/>
          <w:szCs w:val="24"/>
        </w:rPr>
      </w:sdtEndPr>
      <w:sdtContent>
        <w:p w14:paraId="3F8AE527">
          <w:pPr>
            <w:spacing w:before="326" w:beforeLines="100" w:after="326" w:afterLines="100"/>
            <w:ind w:firstLine="0" w:firstLineChars="0"/>
            <w:jc w:val="center"/>
            <w:rPr>
              <w:b/>
              <w:bCs/>
              <w:sz w:val="30"/>
              <w:szCs w:val="30"/>
            </w:rPr>
          </w:pPr>
          <w:r>
            <w:rPr>
              <w:rFonts w:ascii="宋体" w:hAnsi="宋体"/>
              <w:b/>
              <w:bCs/>
              <w:sz w:val="30"/>
              <w:szCs w:val="30"/>
            </w:rPr>
            <w:t>目</w:t>
          </w:r>
          <w:r>
            <w:rPr>
              <w:rFonts w:hint="eastAsia" w:ascii="宋体" w:hAnsi="宋体"/>
              <w:b/>
              <w:bCs/>
              <w:sz w:val="30"/>
              <w:szCs w:val="30"/>
            </w:rPr>
            <w:t xml:space="preserve">  </w:t>
          </w:r>
          <w:r>
            <w:rPr>
              <w:rFonts w:ascii="宋体" w:hAnsi="宋体"/>
              <w:b/>
              <w:bCs/>
              <w:sz w:val="30"/>
              <w:szCs w:val="30"/>
            </w:rPr>
            <w:t>录</w:t>
          </w:r>
        </w:p>
        <w:p w14:paraId="79950350">
          <w:pPr>
            <w:pStyle w:val="15"/>
          </w:pPr>
          <w:r>
            <w:rPr>
              <w:rFonts w:hint="eastAsia" w:ascii="宋体" w:hAnsi="宋体" w:cs="宋体"/>
              <w:b w:val="0"/>
              <w:color w:val="FF0000"/>
              <w:sz w:val="21"/>
              <w:szCs w:val="21"/>
            </w:rPr>
            <w:fldChar w:fldCharType="begin"/>
          </w:r>
          <w:r>
            <w:rPr>
              <w:rFonts w:hint="eastAsia" w:ascii="宋体" w:hAnsi="宋体" w:cs="宋体"/>
              <w:b w:val="0"/>
              <w:color w:val="FF0000"/>
              <w:sz w:val="21"/>
              <w:szCs w:val="21"/>
            </w:rPr>
            <w:instrText xml:space="preserve">TOC \o "1-3" \h \u </w:instrText>
          </w:r>
          <w:r>
            <w:rPr>
              <w:rFonts w:hint="eastAsia" w:ascii="宋体" w:hAnsi="宋体" w:cs="宋体"/>
              <w:b w:val="0"/>
              <w:color w:val="FF0000"/>
              <w:sz w:val="21"/>
              <w:szCs w:val="21"/>
            </w:rPr>
            <w:fldChar w:fldCharType="separate"/>
          </w:r>
          <w:r>
            <w:rPr>
              <w:rFonts w:hint="eastAsia" w:ascii="宋体" w:hAnsi="宋体" w:cs="宋体"/>
              <w:color w:val="FF0000"/>
              <w:szCs w:val="21"/>
            </w:rPr>
            <w:fldChar w:fldCharType="begin"/>
          </w:r>
          <w:r>
            <w:rPr>
              <w:rFonts w:hint="eastAsia" w:ascii="宋体" w:hAnsi="宋体" w:cs="宋体"/>
              <w:szCs w:val="21"/>
            </w:rPr>
            <w:instrText xml:space="preserve"> HYPERLINK \l _Toc11944 </w:instrText>
          </w:r>
          <w:r>
            <w:rPr>
              <w:rFonts w:hint="eastAsia" w:ascii="宋体" w:hAnsi="宋体" w:cs="宋体"/>
              <w:szCs w:val="21"/>
            </w:rPr>
            <w:fldChar w:fldCharType="separate"/>
          </w:r>
          <w:r>
            <w:t>引言</w:t>
          </w:r>
          <w:r>
            <w:tab/>
          </w:r>
          <w:r>
            <w:fldChar w:fldCharType="begin"/>
          </w:r>
          <w:r>
            <w:instrText xml:space="preserve"> PAGEREF _Toc11944 \h </w:instrText>
          </w:r>
          <w:r>
            <w:fldChar w:fldCharType="separate"/>
          </w:r>
          <w:r>
            <w:t>1</w:t>
          </w:r>
          <w:r>
            <w:fldChar w:fldCharType="end"/>
          </w:r>
          <w:r>
            <w:rPr>
              <w:rFonts w:hint="eastAsia" w:ascii="宋体" w:hAnsi="宋体" w:cs="宋体"/>
              <w:color w:val="FF0000"/>
              <w:szCs w:val="21"/>
            </w:rPr>
            <w:fldChar w:fldCharType="end"/>
          </w:r>
        </w:p>
        <w:p w14:paraId="40503BA4">
          <w:pPr>
            <w:pStyle w:val="15"/>
          </w:pPr>
          <w:r>
            <w:rPr>
              <w:rFonts w:hint="eastAsia" w:ascii="宋体" w:hAnsi="宋体" w:cs="宋体"/>
              <w:color w:val="FF0000"/>
              <w:szCs w:val="21"/>
            </w:rPr>
            <w:fldChar w:fldCharType="begin"/>
          </w:r>
          <w:r>
            <w:rPr>
              <w:rFonts w:hint="eastAsia" w:ascii="宋体" w:hAnsi="宋体" w:cs="宋体"/>
              <w:szCs w:val="21"/>
            </w:rPr>
            <w:instrText xml:space="preserve"> HYPERLINK \l _Toc11424 </w:instrText>
          </w:r>
          <w:r>
            <w:rPr>
              <w:rFonts w:hint="eastAsia" w:ascii="宋体" w:hAnsi="宋体" w:cs="宋体"/>
              <w:szCs w:val="21"/>
            </w:rPr>
            <w:fldChar w:fldCharType="separate"/>
          </w:r>
          <w:r>
            <w:rPr>
              <w:rFonts w:hint="eastAsia"/>
              <w:shd w:val="clear" w:color="auto" w:fill="FFFFFF"/>
            </w:rPr>
            <w:t>1  理论基础</w:t>
          </w:r>
          <w:r>
            <w:tab/>
          </w:r>
          <w:r>
            <w:fldChar w:fldCharType="begin"/>
          </w:r>
          <w:r>
            <w:instrText xml:space="preserve"> PAGEREF _Toc11424 \h </w:instrText>
          </w:r>
          <w:r>
            <w:fldChar w:fldCharType="separate"/>
          </w:r>
          <w:r>
            <w:t>2</w:t>
          </w:r>
          <w:r>
            <w:fldChar w:fldCharType="end"/>
          </w:r>
          <w:r>
            <w:rPr>
              <w:rFonts w:hint="eastAsia" w:ascii="宋体" w:hAnsi="宋体" w:cs="宋体"/>
              <w:color w:val="FF0000"/>
              <w:szCs w:val="21"/>
            </w:rPr>
            <w:fldChar w:fldCharType="end"/>
          </w:r>
        </w:p>
        <w:p w14:paraId="0F05DD70">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_Toc14193 </w:instrText>
          </w:r>
          <w:r>
            <w:rPr>
              <w:rFonts w:hint="eastAsia" w:ascii="宋体" w:hAnsi="宋体" w:cs="宋体"/>
              <w:szCs w:val="21"/>
            </w:rPr>
            <w:fldChar w:fldCharType="separate"/>
          </w:r>
          <w:r>
            <w:t>1.1  利益相关者理论</w:t>
          </w:r>
          <w:r>
            <w:tab/>
          </w:r>
          <w:r>
            <w:fldChar w:fldCharType="begin"/>
          </w:r>
          <w:r>
            <w:instrText xml:space="preserve"> PAGEREF _Toc14193 \h </w:instrText>
          </w:r>
          <w:r>
            <w:fldChar w:fldCharType="separate"/>
          </w:r>
          <w:r>
            <w:t>2</w:t>
          </w:r>
          <w:r>
            <w:fldChar w:fldCharType="end"/>
          </w:r>
          <w:r>
            <w:rPr>
              <w:rFonts w:hint="eastAsia" w:ascii="宋体" w:hAnsi="宋体" w:cs="宋体"/>
              <w:color w:val="FF0000"/>
              <w:szCs w:val="21"/>
            </w:rPr>
            <w:fldChar w:fldCharType="end"/>
          </w:r>
        </w:p>
        <w:p w14:paraId="54B33AF6">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_Toc4799 </w:instrText>
          </w:r>
          <w:r>
            <w:rPr>
              <w:rFonts w:hint="eastAsia" w:ascii="宋体" w:hAnsi="宋体" w:cs="宋体"/>
              <w:szCs w:val="21"/>
            </w:rPr>
            <w:fldChar w:fldCharType="separate"/>
          </w:r>
          <w:r>
            <w:t>1.2  可持续发展理论</w:t>
          </w:r>
          <w:r>
            <w:tab/>
          </w:r>
          <w:r>
            <w:fldChar w:fldCharType="begin"/>
          </w:r>
          <w:r>
            <w:instrText xml:space="preserve"> PAGEREF _Toc4799 \h </w:instrText>
          </w:r>
          <w:r>
            <w:fldChar w:fldCharType="separate"/>
          </w:r>
          <w:r>
            <w:t>2</w:t>
          </w:r>
          <w:r>
            <w:fldChar w:fldCharType="end"/>
          </w:r>
          <w:r>
            <w:rPr>
              <w:rFonts w:hint="eastAsia" w:ascii="宋体" w:hAnsi="宋体" w:cs="宋体"/>
              <w:color w:val="FF0000"/>
              <w:szCs w:val="21"/>
            </w:rPr>
            <w:fldChar w:fldCharType="end"/>
          </w:r>
        </w:p>
        <w:p w14:paraId="61F03D29">
          <w:pPr>
            <w:pStyle w:val="15"/>
          </w:pPr>
          <w:r>
            <w:rPr>
              <w:rFonts w:hint="eastAsia" w:ascii="宋体" w:hAnsi="宋体" w:cs="宋体"/>
              <w:color w:val="FF0000"/>
              <w:szCs w:val="21"/>
            </w:rPr>
            <w:fldChar w:fldCharType="begin"/>
          </w:r>
          <w:r>
            <w:rPr>
              <w:rFonts w:hint="eastAsia" w:ascii="宋体" w:hAnsi="宋体" w:cs="宋体"/>
              <w:szCs w:val="21"/>
            </w:rPr>
            <w:instrText xml:space="preserve"> HYPERLINK \l _Toc12221 </w:instrText>
          </w:r>
          <w:r>
            <w:rPr>
              <w:rFonts w:hint="eastAsia" w:ascii="宋体" w:hAnsi="宋体" w:cs="宋体"/>
              <w:szCs w:val="21"/>
            </w:rPr>
            <w:fldChar w:fldCharType="separate"/>
          </w:r>
          <w:r>
            <w:rPr>
              <w:shd w:val="clear" w:color="auto" w:fill="FFFFFF"/>
            </w:rPr>
            <w:t>2</w:t>
          </w:r>
          <w:r>
            <w:rPr>
              <w:rFonts w:hint="eastAsia"/>
              <w:shd w:val="clear" w:color="auto" w:fill="FFFFFF"/>
            </w:rPr>
            <w:t xml:space="preserve">  川能动力绿色转型案例介绍</w:t>
          </w:r>
          <w:r>
            <w:tab/>
          </w:r>
          <w:r>
            <w:fldChar w:fldCharType="begin"/>
          </w:r>
          <w:r>
            <w:instrText xml:space="preserve"> PAGEREF _Toc12221 \h </w:instrText>
          </w:r>
          <w:r>
            <w:fldChar w:fldCharType="separate"/>
          </w:r>
          <w:r>
            <w:t>2</w:t>
          </w:r>
          <w:r>
            <w:fldChar w:fldCharType="end"/>
          </w:r>
          <w:r>
            <w:rPr>
              <w:rFonts w:hint="eastAsia" w:ascii="宋体" w:hAnsi="宋体" w:cs="宋体"/>
              <w:color w:val="FF0000"/>
              <w:szCs w:val="21"/>
            </w:rPr>
            <w:fldChar w:fldCharType="end"/>
          </w:r>
        </w:p>
        <w:p w14:paraId="68EA0CAB">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_Toc9597 </w:instrText>
          </w:r>
          <w:r>
            <w:rPr>
              <w:rFonts w:hint="eastAsia" w:ascii="宋体" w:hAnsi="宋体" w:cs="宋体"/>
              <w:szCs w:val="21"/>
            </w:rPr>
            <w:fldChar w:fldCharType="separate"/>
          </w:r>
          <w:r>
            <w:t>2.1  公司简介</w:t>
          </w:r>
          <w:r>
            <w:tab/>
          </w:r>
          <w:r>
            <w:fldChar w:fldCharType="begin"/>
          </w:r>
          <w:r>
            <w:instrText xml:space="preserve"> PAGEREF _Toc9597 \h </w:instrText>
          </w:r>
          <w:r>
            <w:fldChar w:fldCharType="separate"/>
          </w:r>
          <w:r>
            <w:t>2</w:t>
          </w:r>
          <w:r>
            <w:fldChar w:fldCharType="end"/>
          </w:r>
          <w:r>
            <w:rPr>
              <w:rFonts w:hint="eastAsia" w:ascii="宋体" w:hAnsi="宋体" w:cs="宋体"/>
              <w:color w:val="FF0000"/>
              <w:szCs w:val="21"/>
            </w:rPr>
            <w:fldChar w:fldCharType="end"/>
          </w:r>
        </w:p>
        <w:p w14:paraId="0674B72E">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_Toc4545 </w:instrText>
          </w:r>
          <w:r>
            <w:rPr>
              <w:rFonts w:hint="eastAsia" w:ascii="宋体" w:hAnsi="宋体" w:cs="宋体"/>
              <w:szCs w:val="21"/>
            </w:rPr>
            <w:fldChar w:fldCharType="separate"/>
          </w:r>
          <w:r>
            <w:rPr>
              <w:shd w:val="clear" w:color="auto" w:fill="FFFFFF"/>
            </w:rPr>
            <w:t>2.2</w:t>
          </w:r>
          <w:r>
            <w:rPr>
              <w:rFonts w:ascii="宋体" w:hAnsi="宋体" w:cs="Segoe UI"/>
              <w:shd w:val="clear" w:color="auto" w:fill="FFFFFF"/>
            </w:rPr>
            <w:t xml:space="preserve">  </w:t>
          </w:r>
          <w:r>
            <w:t>绿色转型历程</w:t>
          </w:r>
          <w:r>
            <w:tab/>
          </w:r>
          <w:r>
            <w:fldChar w:fldCharType="begin"/>
          </w:r>
          <w:r>
            <w:instrText xml:space="preserve"> PAGEREF _Toc4545 \h </w:instrText>
          </w:r>
          <w:r>
            <w:fldChar w:fldCharType="separate"/>
          </w:r>
          <w:r>
            <w:t>2</w:t>
          </w:r>
          <w:r>
            <w:fldChar w:fldCharType="end"/>
          </w:r>
          <w:r>
            <w:rPr>
              <w:rFonts w:hint="eastAsia" w:ascii="宋体" w:hAnsi="宋体" w:cs="宋体"/>
              <w:color w:val="FF0000"/>
              <w:szCs w:val="21"/>
            </w:rPr>
            <w:fldChar w:fldCharType="end"/>
          </w:r>
        </w:p>
        <w:p w14:paraId="25D4CAC1">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_Toc2392 </w:instrText>
          </w:r>
          <w:r>
            <w:rPr>
              <w:rFonts w:hint="eastAsia" w:ascii="宋体" w:hAnsi="宋体" w:cs="宋体"/>
              <w:szCs w:val="21"/>
            </w:rPr>
            <w:fldChar w:fldCharType="separate"/>
          </w:r>
          <w:r>
            <w:t>2.3  绿色转型动因</w:t>
          </w:r>
          <w:r>
            <w:tab/>
          </w:r>
          <w:r>
            <w:fldChar w:fldCharType="begin"/>
          </w:r>
          <w:r>
            <w:instrText xml:space="preserve"> PAGEREF _Toc2392 \h </w:instrText>
          </w:r>
          <w:r>
            <w:fldChar w:fldCharType="separate"/>
          </w:r>
          <w:r>
            <w:t>3</w:t>
          </w:r>
          <w:r>
            <w:fldChar w:fldCharType="end"/>
          </w:r>
          <w:r>
            <w:rPr>
              <w:rFonts w:hint="eastAsia" w:ascii="宋体" w:hAnsi="宋体" w:cs="宋体"/>
              <w:color w:val="FF0000"/>
              <w:szCs w:val="21"/>
            </w:rPr>
            <w:fldChar w:fldCharType="end"/>
          </w:r>
        </w:p>
        <w:p w14:paraId="441B51DB">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_Toc16027 </w:instrText>
          </w:r>
          <w:r>
            <w:rPr>
              <w:rFonts w:hint="eastAsia" w:ascii="宋体" w:hAnsi="宋体" w:cs="宋体"/>
              <w:szCs w:val="21"/>
            </w:rPr>
            <w:fldChar w:fldCharType="separate"/>
          </w:r>
          <w:r>
            <w:t>2.3.1  政策驱动</w:t>
          </w:r>
          <w:r>
            <w:tab/>
          </w:r>
          <w:r>
            <w:fldChar w:fldCharType="begin"/>
          </w:r>
          <w:r>
            <w:instrText xml:space="preserve"> PAGEREF _Toc16027 \h </w:instrText>
          </w:r>
          <w:r>
            <w:fldChar w:fldCharType="separate"/>
          </w:r>
          <w:r>
            <w:t>3</w:t>
          </w:r>
          <w:r>
            <w:fldChar w:fldCharType="end"/>
          </w:r>
          <w:r>
            <w:rPr>
              <w:rFonts w:hint="eastAsia" w:ascii="宋体" w:hAnsi="宋体" w:cs="宋体"/>
              <w:color w:val="FF0000"/>
              <w:szCs w:val="21"/>
            </w:rPr>
            <w:fldChar w:fldCharType="end"/>
          </w:r>
        </w:p>
        <w:p w14:paraId="12DD1DA2">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_Toc5930 </w:instrText>
          </w:r>
          <w:r>
            <w:rPr>
              <w:rFonts w:hint="eastAsia" w:ascii="宋体" w:hAnsi="宋体" w:cs="宋体"/>
              <w:szCs w:val="21"/>
            </w:rPr>
            <w:fldChar w:fldCharType="separate"/>
          </w:r>
          <w:r>
            <w:rPr>
              <w:rFonts w:hint="eastAsia"/>
            </w:rPr>
            <w:t>2.3.2  市场需求驱动</w:t>
          </w:r>
          <w:r>
            <w:tab/>
          </w:r>
          <w:r>
            <w:fldChar w:fldCharType="begin"/>
          </w:r>
          <w:r>
            <w:instrText xml:space="preserve"> PAGEREF _Toc5930 \h </w:instrText>
          </w:r>
          <w:r>
            <w:fldChar w:fldCharType="separate"/>
          </w:r>
          <w:r>
            <w:t>4</w:t>
          </w:r>
          <w:r>
            <w:fldChar w:fldCharType="end"/>
          </w:r>
          <w:r>
            <w:rPr>
              <w:rFonts w:hint="eastAsia" w:ascii="宋体" w:hAnsi="宋体" w:cs="宋体"/>
              <w:color w:val="FF0000"/>
              <w:szCs w:val="21"/>
            </w:rPr>
            <w:fldChar w:fldCharType="end"/>
          </w:r>
        </w:p>
        <w:p w14:paraId="731437D2">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_Toc32551 </w:instrText>
          </w:r>
          <w:r>
            <w:rPr>
              <w:rFonts w:hint="eastAsia" w:ascii="宋体" w:hAnsi="宋体" w:cs="宋体"/>
              <w:szCs w:val="21"/>
            </w:rPr>
            <w:fldChar w:fldCharType="separate"/>
          </w:r>
          <w:r>
            <w:t>2.3.3  经济效益驱动</w:t>
          </w:r>
          <w:r>
            <w:tab/>
          </w:r>
          <w:r>
            <w:fldChar w:fldCharType="begin"/>
          </w:r>
          <w:r>
            <w:instrText xml:space="preserve"> PAGEREF _Toc32551 \h </w:instrText>
          </w:r>
          <w:r>
            <w:fldChar w:fldCharType="separate"/>
          </w:r>
          <w:r>
            <w:t>4</w:t>
          </w:r>
          <w:r>
            <w:fldChar w:fldCharType="end"/>
          </w:r>
          <w:r>
            <w:rPr>
              <w:rFonts w:hint="eastAsia" w:ascii="宋体" w:hAnsi="宋体" w:cs="宋体"/>
              <w:color w:val="FF0000"/>
              <w:szCs w:val="21"/>
            </w:rPr>
            <w:fldChar w:fldCharType="end"/>
          </w:r>
        </w:p>
        <w:p w14:paraId="768136E7">
          <w:pPr>
            <w:pStyle w:val="15"/>
          </w:pPr>
          <w:r>
            <w:rPr>
              <w:rFonts w:hint="eastAsia" w:ascii="宋体" w:hAnsi="宋体" w:cs="宋体"/>
              <w:color w:val="FF0000"/>
              <w:szCs w:val="21"/>
            </w:rPr>
            <w:fldChar w:fldCharType="begin"/>
          </w:r>
          <w:r>
            <w:rPr>
              <w:rFonts w:hint="eastAsia" w:ascii="宋体" w:hAnsi="宋体" w:cs="宋体"/>
              <w:szCs w:val="21"/>
            </w:rPr>
            <w:instrText xml:space="preserve"> HYPERLINK \l _Toc8736 </w:instrText>
          </w:r>
          <w:r>
            <w:rPr>
              <w:rFonts w:hint="eastAsia" w:ascii="宋体" w:hAnsi="宋体" w:cs="宋体"/>
              <w:szCs w:val="21"/>
            </w:rPr>
            <w:fldChar w:fldCharType="separate"/>
          </w:r>
          <w:r>
            <w:rPr>
              <w:shd w:val="clear" w:color="auto" w:fill="FFFFFF"/>
            </w:rPr>
            <w:t xml:space="preserve">3 </w:t>
          </w:r>
          <w:r>
            <w:rPr>
              <w:rFonts w:hint="eastAsia" w:ascii="宋体" w:hAnsi="宋体" w:cs="Segoe UI"/>
              <w:shd w:val="clear" w:color="auto" w:fill="FFFFFF"/>
            </w:rPr>
            <w:t xml:space="preserve"> </w:t>
          </w:r>
          <w:r>
            <w:rPr>
              <w:rFonts w:hint="eastAsia"/>
            </w:rPr>
            <w:t>川能动力绿色转型财务绩效分析与评价</w:t>
          </w:r>
          <w:r>
            <w:tab/>
          </w:r>
          <w:r>
            <w:fldChar w:fldCharType="begin"/>
          </w:r>
          <w:r>
            <w:instrText xml:space="preserve"> PAGEREF _Toc8736 \h </w:instrText>
          </w:r>
          <w:r>
            <w:fldChar w:fldCharType="separate"/>
          </w:r>
          <w:r>
            <w:t>5</w:t>
          </w:r>
          <w:r>
            <w:fldChar w:fldCharType="end"/>
          </w:r>
          <w:r>
            <w:rPr>
              <w:rFonts w:hint="eastAsia" w:ascii="宋体" w:hAnsi="宋体" w:cs="宋体"/>
              <w:color w:val="FF0000"/>
              <w:szCs w:val="21"/>
            </w:rPr>
            <w:fldChar w:fldCharType="end"/>
          </w:r>
        </w:p>
        <w:p w14:paraId="2870C971">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_Toc22682 </w:instrText>
          </w:r>
          <w:r>
            <w:rPr>
              <w:rFonts w:hint="eastAsia" w:ascii="宋体" w:hAnsi="宋体" w:cs="宋体"/>
              <w:szCs w:val="21"/>
            </w:rPr>
            <w:fldChar w:fldCharType="separate"/>
          </w:r>
          <w:r>
            <w:rPr>
              <w:shd w:val="clear" w:color="auto" w:fill="FFFFFF"/>
            </w:rPr>
            <w:t>3.1  财务绩效分析</w:t>
          </w:r>
          <w:r>
            <w:tab/>
          </w:r>
          <w:r>
            <w:fldChar w:fldCharType="begin"/>
          </w:r>
          <w:r>
            <w:instrText xml:space="preserve"> PAGEREF _Toc22682 \h </w:instrText>
          </w:r>
          <w:r>
            <w:fldChar w:fldCharType="separate"/>
          </w:r>
          <w:r>
            <w:t>5</w:t>
          </w:r>
          <w:r>
            <w:fldChar w:fldCharType="end"/>
          </w:r>
          <w:r>
            <w:rPr>
              <w:rFonts w:hint="eastAsia" w:ascii="宋体" w:hAnsi="宋体" w:cs="宋体"/>
              <w:color w:val="FF0000"/>
              <w:szCs w:val="21"/>
            </w:rPr>
            <w:fldChar w:fldCharType="end"/>
          </w:r>
        </w:p>
        <w:p w14:paraId="0D4C8CCE">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_Toc1644 </w:instrText>
          </w:r>
          <w:r>
            <w:rPr>
              <w:rFonts w:hint="eastAsia" w:ascii="宋体" w:hAnsi="宋体" w:cs="宋体"/>
              <w:szCs w:val="21"/>
            </w:rPr>
            <w:fldChar w:fldCharType="separate"/>
          </w:r>
          <w:r>
            <w:rPr>
              <w:shd w:val="clear" w:color="auto" w:fill="FFFFFF"/>
            </w:rPr>
            <w:t>3.1.1</w:t>
          </w:r>
          <w:r>
            <w:rPr>
              <w:rFonts w:hint="eastAsia" w:ascii="Segoe UI" w:hAnsi="Segoe UI" w:cs="Segoe UI"/>
              <w:shd w:val="clear" w:color="auto" w:fill="FFFFFF"/>
            </w:rPr>
            <w:t xml:space="preserve">  </w:t>
          </w:r>
          <w:r>
            <w:rPr>
              <w:rFonts w:hint="eastAsia"/>
            </w:rPr>
            <w:t>偿债能力分析</w:t>
          </w:r>
          <w:r>
            <w:tab/>
          </w:r>
          <w:r>
            <w:fldChar w:fldCharType="begin"/>
          </w:r>
          <w:r>
            <w:instrText xml:space="preserve"> PAGEREF _Toc1644 \h </w:instrText>
          </w:r>
          <w:r>
            <w:fldChar w:fldCharType="separate"/>
          </w:r>
          <w:r>
            <w:t>5</w:t>
          </w:r>
          <w:r>
            <w:fldChar w:fldCharType="end"/>
          </w:r>
          <w:r>
            <w:rPr>
              <w:rFonts w:hint="eastAsia" w:ascii="宋体" w:hAnsi="宋体" w:cs="宋体"/>
              <w:color w:val="FF0000"/>
              <w:szCs w:val="21"/>
            </w:rPr>
            <w:fldChar w:fldCharType="end"/>
          </w:r>
        </w:p>
        <w:p w14:paraId="51897744">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_Toc15075 </w:instrText>
          </w:r>
          <w:r>
            <w:rPr>
              <w:rFonts w:hint="eastAsia" w:ascii="宋体" w:hAnsi="宋体" w:cs="宋体"/>
              <w:szCs w:val="21"/>
            </w:rPr>
            <w:fldChar w:fldCharType="separate"/>
          </w:r>
          <w:r>
            <w:rPr>
              <w:shd w:val="clear" w:color="auto" w:fill="FFFFFF"/>
            </w:rPr>
            <w:t>3.1.2</w:t>
          </w:r>
          <w:r>
            <w:rPr>
              <w:rFonts w:hint="eastAsia" w:ascii="Segoe UI" w:hAnsi="Segoe UI" w:cs="Segoe UI"/>
              <w:shd w:val="clear" w:color="auto" w:fill="FFFFFF"/>
            </w:rPr>
            <w:t xml:space="preserve">  </w:t>
          </w:r>
          <w:r>
            <w:rPr>
              <w:rFonts w:hint="eastAsia"/>
            </w:rPr>
            <w:t>营运能力分析</w:t>
          </w:r>
          <w:r>
            <w:tab/>
          </w:r>
          <w:r>
            <w:fldChar w:fldCharType="begin"/>
          </w:r>
          <w:r>
            <w:instrText xml:space="preserve"> PAGEREF _Toc15075 \h </w:instrText>
          </w:r>
          <w:r>
            <w:fldChar w:fldCharType="separate"/>
          </w:r>
          <w:r>
            <w:t>6</w:t>
          </w:r>
          <w:r>
            <w:fldChar w:fldCharType="end"/>
          </w:r>
          <w:r>
            <w:rPr>
              <w:rFonts w:hint="eastAsia" w:ascii="宋体" w:hAnsi="宋体" w:cs="宋体"/>
              <w:color w:val="FF0000"/>
              <w:szCs w:val="21"/>
            </w:rPr>
            <w:fldChar w:fldCharType="end"/>
          </w:r>
        </w:p>
        <w:p w14:paraId="2669261A">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_Toc3748 </w:instrText>
          </w:r>
          <w:r>
            <w:rPr>
              <w:rFonts w:hint="eastAsia" w:ascii="宋体" w:hAnsi="宋体" w:cs="宋体"/>
              <w:szCs w:val="21"/>
            </w:rPr>
            <w:fldChar w:fldCharType="separate"/>
          </w:r>
          <w:r>
            <w:rPr>
              <w:shd w:val="clear" w:color="auto" w:fill="FFFFFF"/>
            </w:rPr>
            <w:t>3.1.3</w:t>
          </w:r>
          <w:r>
            <w:rPr>
              <w:rFonts w:hint="eastAsia" w:ascii="Segoe UI" w:hAnsi="Segoe UI" w:cs="Segoe UI"/>
              <w:shd w:val="clear" w:color="auto" w:fill="FFFFFF"/>
            </w:rPr>
            <w:t xml:space="preserve">  </w:t>
          </w:r>
          <w:r>
            <w:rPr>
              <w:rFonts w:hint="eastAsia"/>
            </w:rPr>
            <w:t>盈利能力分析</w:t>
          </w:r>
          <w:r>
            <w:tab/>
          </w:r>
          <w:r>
            <w:fldChar w:fldCharType="begin"/>
          </w:r>
          <w:r>
            <w:instrText xml:space="preserve"> PAGEREF _Toc3748 \h </w:instrText>
          </w:r>
          <w:r>
            <w:fldChar w:fldCharType="separate"/>
          </w:r>
          <w:r>
            <w:t>7</w:t>
          </w:r>
          <w:r>
            <w:fldChar w:fldCharType="end"/>
          </w:r>
          <w:r>
            <w:rPr>
              <w:rFonts w:hint="eastAsia" w:ascii="宋体" w:hAnsi="宋体" w:cs="宋体"/>
              <w:color w:val="FF0000"/>
              <w:szCs w:val="21"/>
            </w:rPr>
            <w:fldChar w:fldCharType="end"/>
          </w:r>
        </w:p>
        <w:p w14:paraId="1AC0C1AB">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_Toc32544 </w:instrText>
          </w:r>
          <w:r>
            <w:rPr>
              <w:rFonts w:hint="eastAsia" w:ascii="宋体" w:hAnsi="宋体" w:cs="宋体"/>
              <w:szCs w:val="21"/>
            </w:rPr>
            <w:fldChar w:fldCharType="separate"/>
          </w:r>
          <w:r>
            <w:rPr>
              <w:rFonts w:hint="eastAsia"/>
            </w:rPr>
            <w:t>3.1.4  发展能力分析</w:t>
          </w:r>
          <w:r>
            <w:tab/>
          </w:r>
          <w:r>
            <w:fldChar w:fldCharType="begin"/>
          </w:r>
          <w:r>
            <w:instrText xml:space="preserve"> PAGEREF _Toc32544 \h </w:instrText>
          </w:r>
          <w:r>
            <w:fldChar w:fldCharType="separate"/>
          </w:r>
          <w:r>
            <w:t>9</w:t>
          </w:r>
          <w:r>
            <w:fldChar w:fldCharType="end"/>
          </w:r>
          <w:r>
            <w:rPr>
              <w:rFonts w:hint="eastAsia" w:ascii="宋体" w:hAnsi="宋体" w:cs="宋体"/>
              <w:color w:val="FF0000"/>
              <w:szCs w:val="21"/>
            </w:rPr>
            <w:fldChar w:fldCharType="end"/>
          </w:r>
        </w:p>
        <w:p w14:paraId="0E990EFB">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_Toc27875 </w:instrText>
          </w:r>
          <w:r>
            <w:rPr>
              <w:rFonts w:hint="eastAsia" w:ascii="宋体" w:hAnsi="宋体" w:cs="宋体"/>
              <w:szCs w:val="21"/>
            </w:rPr>
            <w:fldChar w:fldCharType="separate"/>
          </w:r>
          <w:r>
            <w:t>3.2  财务绩效评价</w:t>
          </w:r>
          <w:r>
            <w:tab/>
          </w:r>
          <w:r>
            <w:fldChar w:fldCharType="begin"/>
          </w:r>
          <w:r>
            <w:instrText xml:space="preserve"> PAGEREF _Toc27875 \h </w:instrText>
          </w:r>
          <w:r>
            <w:fldChar w:fldCharType="separate"/>
          </w:r>
          <w:r>
            <w:t>10</w:t>
          </w:r>
          <w:r>
            <w:fldChar w:fldCharType="end"/>
          </w:r>
          <w:r>
            <w:rPr>
              <w:rFonts w:hint="eastAsia" w:ascii="宋体" w:hAnsi="宋体" w:cs="宋体"/>
              <w:color w:val="FF0000"/>
              <w:szCs w:val="21"/>
            </w:rPr>
            <w:fldChar w:fldCharType="end"/>
          </w:r>
        </w:p>
        <w:p w14:paraId="6594C7D7">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_Toc7845 </w:instrText>
          </w:r>
          <w:r>
            <w:rPr>
              <w:rFonts w:hint="eastAsia" w:ascii="宋体" w:hAnsi="宋体" w:cs="宋体"/>
              <w:szCs w:val="21"/>
            </w:rPr>
            <w:fldChar w:fldCharType="separate"/>
          </w:r>
          <w:r>
            <w:rPr>
              <w:rFonts w:hint="eastAsia"/>
            </w:rPr>
            <w:t>3.2.1  熵值法</w:t>
          </w:r>
          <w:r>
            <w:tab/>
          </w:r>
          <w:r>
            <w:fldChar w:fldCharType="begin"/>
          </w:r>
          <w:r>
            <w:instrText xml:space="preserve"> PAGEREF _Toc7845 \h </w:instrText>
          </w:r>
          <w:r>
            <w:fldChar w:fldCharType="separate"/>
          </w:r>
          <w:r>
            <w:t>10</w:t>
          </w:r>
          <w:r>
            <w:fldChar w:fldCharType="end"/>
          </w:r>
          <w:r>
            <w:rPr>
              <w:rFonts w:hint="eastAsia" w:ascii="宋体" w:hAnsi="宋体" w:cs="宋体"/>
              <w:color w:val="FF0000"/>
              <w:szCs w:val="21"/>
            </w:rPr>
            <w:fldChar w:fldCharType="end"/>
          </w:r>
        </w:p>
        <w:p w14:paraId="159A290D">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_Toc11817 </w:instrText>
          </w:r>
          <w:r>
            <w:rPr>
              <w:rFonts w:hint="eastAsia" w:ascii="宋体" w:hAnsi="宋体" w:cs="宋体"/>
              <w:szCs w:val="21"/>
            </w:rPr>
            <w:fldChar w:fldCharType="separate"/>
          </w:r>
          <w:r>
            <w:t>3.2.2  财务绩效评价的过程</w:t>
          </w:r>
          <w:r>
            <w:tab/>
          </w:r>
          <w:r>
            <w:fldChar w:fldCharType="begin"/>
          </w:r>
          <w:r>
            <w:instrText xml:space="preserve"> PAGEREF _Toc11817 \h </w:instrText>
          </w:r>
          <w:r>
            <w:fldChar w:fldCharType="separate"/>
          </w:r>
          <w:r>
            <w:t>11</w:t>
          </w:r>
          <w:r>
            <w:fldChar w:fldCharType="end"/>
          </w:r>
          <w:r>
            <w:rPr>
              <w:rFonts w:hint="eastAsia" w:ascii="宋体" w:hAnsi="宋体" w:cs="宋体"/>
              <w:color w:val="FF0000"/>
              <w:szCs w:val="21"/>
            </w:rPr>
            <w:fldChar w:fldCharType="end"/>
          </w:r>
        </w:p>
        <w:p w14:paraId="7A6F3081">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_Toc3954 </w:instrText>
          </w:r>
          <w:r>
            <w:rPr>
              <w:rFonts w:hint="eastAsia" w:ascii="宋体" w:hAnsi="宋体" w:cs="宋体"/>
              <w:szCs w:val="21"/>
            </w:rPr>
            <w:fldChar w:fldCharType="separate"/>
          </w:r>
          <w:r>
            <w:t>3.2.3  财务绩效评价结果分析</w:t>
          </w:r>
          <w:r>
            <w:tab/>
          </w:r>
          <w:r>
            <w:fldChar w:fldCharType="begin"/>
          </w:r>
          <w:r>
            <w:instrText xml:space="preserve"> PAGEREF _Toc3954 \h </w:instrText>
          </w:r>
          <w:r>
            <w:fldChar w:fldCharType="separate"/>
          </w:r>
          <w:r>
            <w:t>12</w:t>
          </w:r>
          <w:r>
            <w:fldChar w:fldCharType="end"/>
          </w:r>
          <w:r>
            <w:rPr>
              <w:rFonts w:hint="eastAsia" w:ascii="宋体" w:hAnsi="宋体" w:cs="宋体"/>
              <w:color w:val="FF0000"/>
              <w:szCs w:val="21"/>
            </w:rPr>
            <w:fldChar w:fldCharType="end"/>
          </w:r>
        </w:p>
        <w:p w14:paraId="7982F774">
          <w:pPr>
            <w:pStyle w:val="15"/>
          </w:pPr>
          <w:r>
            <w:rPr>
              <w:rFonts w:hint="eastAsia" w:ascii="宋体" w:hAnsi="宋体" w:cs="宋体"/>
              <w:color w:val="FF0000"/>
              <w:szCs w:val="21"/>
            </w:rPr>
            <w:fldChar w:fldCharType="begin"/>
          </w:r>
          <w:r>
            <w:rPr>
              <w:rFonts w:hint="eastAsia" w:ascii="宋体" w:hAnsi="宋体" w:cs="宋体"/>
              <w:szCs w:val="21"/>
            </w:rPr>
            <w:instrText xml:space="preserve"> HYPERLINK \l _Toc399 </w:instrText>
          </w:r>
          <w:r>
            <w:rPr>
              <w:rFonts w:hint="eastAsia" w:ascii="宋体" w:hAnsi="宋体" w:cs="宋体"/>
              <w:szCs w:val="21"/>
            </w:rPr>
            <w:fldChar w:fldCharType="separate"/>
          </w:r>
          <w:r>
            <w:rPr>
              <w:shd w:val="clear" w:color="auto" w:fill="FFFFFF"/>
            </w:rPr>
            <w:t>4</w:t>
          </w:r>
          <w:r>
            <w:rPr>
              <w:rFonts w:hint="eastAsia" w:ascii="Segoe UI" w:hAnsi="Segoe UI"/>
              <w:shd w:val="clear" w:color="auto" w:fill="FFFFFF"/>
            </w:rPr>
            <w:t xml:space="preserve">  </w:t>
          </w:r>
          <w:r>
            <w:rPr>
              <w:rFonts w:hint="eastAsia"/>
              <w:shd w:val="clear" w:color="auto" w:fill="FFFFFF"/>
            </w:rPr>
            <w:t>川能动力绿色转型存在的问题及建议</w:t>
          </w:r>
          <w:r>
            <w:tab/>
          </w:r>
          <w:r>
            <w:fldChar w:fldCharType="begin"/>
          </w:r>
          <w:r>
            <w:instrText xml:space="preserve"> PAGEREF _Toc399 \h </w:instrText>
          </w:r>
          <w:r>
            <w:fldChar w:fldCharType="separate"/>
          </w:r>
          <w:r>
            <w:t>14</w:t>
          </w:r>
          <w:r>
            <w:fldChar w:fldCharType="end"/>
          </w:r>
          <w:r>
            <w:rPr>
              <w:rFonts w:hint="eastAsia" w:ascii="宋体" w:hAnsi="宋体" w:cs="宋体"/>
              <w:color w:val="FF0000"/>
              <w:szCs w:val="21"/>
            </w:rPr>
            <w:fldChar w:fldCharType="end"/>
          </w:r>
        </w:p>
        <w:p w14:paraId="5BE08C80">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_Toc22782 </w:instrText>
          </w:r>
          <w:r>
            <w:rPr>
              <w:rFonts w:hint="eastAsia" w:ascii="宋体" w:hAnsi="宋体" w:cs="宋体"/>
              <w:szCs w:val="21"/>
            </w:rPr>
            <w:fldChar w:fldCharType="separate"/>
          </w:r>
          <w:r>
            <w:rPr>
              <w:rFonts w:eastAsia="黑体"/>
              <w:shd w:val="clear" w:color="auto" w:fill="FFFFFF"/>
            </w:rPr>
            <w:t>4.1</w:t>
          </w:r>
          <w:r>
            <w:t xml:space="preserve">  存在的问题</w:t>
          </w:r>
          <w:r>
            <w:tab/>
          </w:r>
          <w:r>
            <w:fldChar w:fldCharType="begin"/>
          </w:r>
          <w:r>
            <w:instrText xml:space="preserve"> PAGEREF _Toc22782 \h </w:instrText>
          </w:r>
          <w:r>
            <w:fldChar w:fldCharType="separate"/>
          </w:r>
          <w:r>
            <w:t>14</w:t>
          </w:r>
          <w:r>
            <w:fldChar w:fldCharType="end"/>
          </w:r>
          <w:r>
            <w:rPr>
              <w:rFonts w:hint="eastAsia" w:ascii="宋体" w:hAnsi="宋体" w:cs="宋体"/>
              <w:color w:val="FF0000"/>
              <w:szCs w:val="21"/>
            </w:rPr>
            <w:fldChar w:fldCharType="end"/>
          </w:r>
        </w:p>
        <w:p w14:paraId="0FFC2176">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_Toc14922 </w:instrText>
          </w:r>
          <w:r>
            <w:rPr>
              <w:rFonts w:hint="eastAsia" w:ascii="宋体" w:hAnsi="宋体" w:cs="宋体"/>
              <w:szCs w:val="21"/>
            </w:rPr>
            <w:fldChar w:fldCharType="separate"/>
          </w:r>
          <w:r>
            <w:rPr>
              <w:rFonts w:hint="eastAsia"/>
            </w:rPr>
            <w:t>4.1.1  应收账款回收缓慢</w:t>
          </w:r>
          <w:r>
            <w:tab/>
          </w:r>
          <w:r>
            <w:fldChar w:fldCharType="begin"/>
          </w:r>
          <w:r>
            <w:instrText xml:space="preserve"> PAGEREF _Toc14922 \h </w:instrText>
          </w:r>
          <w:r>
            <w:fldChar w:fldCharType="separate"/>
          </w:r>
          <w:r>
            <w:t>14</w:t>
          </w:r>
          <w:r>
            <w:fldChar w:fldCharType="end"/>
          </w:r>
          <w:r>
            <w:rPr>
              <w:rFonts w:hint="eastAsia" w:ascii="宋体" w:hAnsi="宋体" w:cs="宋体"/>
              <w:color w:val="FF0000"/>
              <w:szCs w:val="21"/>
            </w:rPr>
            <w:fldChar w:fldCharType="end"/>
          </w:r>
        </w:p>
        <w:p w14:paraId="44614083">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_Toc19657 </w:instrText>
          </w:r>
          <w:r>
            <w:rPr>
              <w:rFonts w:hint="eastAsia" w:ascii="宋体" w:hAnsi="宋体" w:cs="宋体"/>
              <w:szCs w:val="21"/>
            </w:rPr>
            <w:fldChar w:fldCharType="separate"/>
          </w:r>
          <w:r>
            <w:t>4.2.2  总资产周转率偏低</w:t>
          </w:r>
          <w:r>
            <w:tab/>
          </w:r>
          <w:r>
            <w:fldChar w:fldCharType="begin"/>
          </w:r>
          <w:r>
            <w:instrText xml:space="preserve"> PAGEREF _Toc19657 \h </w:instrText>
          </w:r>
          <w:r>
            <w:fldChar w:fldCharType="separate"/>
          </w:r>
          <w:r>
            <w:t>15</w:t>
          </w:r>
          <w:r>
            <w:fldChar w:fldCharType="end"/>
          </w:r>
          <w:r>
            <w:rPr>
              <w:rFonts w:hint="eastAsia" w:ascii="宋体" w:hAnsi="宋体" w:cs="宋体"/>
              <w:color w:val="FF0000"/>
              <w:szCs w:val="21"/>
            </w:rPr>
            <w:fldChar w:fldCharType="end"/>
          </w:r>
        </w:p>
        <w:p w14:paraId="0078F5D3">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_Toc27283 </w:instrText>
          </w:r>
          <w:r>
            <w:rPr>
              <w:rFonts w:hint="eastAsia" w:ascii="宋体" w:hAnsi="宋体" w:cs="宋体"/>
              <w:szCs w:val="21"/>
            </w:rPr>
            <w:fldChar w:fldCharType="separate"/>
          </w:r>
          <w:r>
            <w:rPr>
              <w:shd w:val="clear" w:color="auto" w:fill="FFFFFF"/>
            </w:rPr>
            <w:t xml:space="preserve">4.2.3  </w:t>
          </w:r>
          <w:r>
            <w:rPr>
              <w:rFonts w:hint="eastAsia"/>
              <w:shd w:val="clear" w:color="auto" w:fill="FFFFFF"/>
            </w:rPr>
            <w:t>业务结构单一</w:t>
          </w:r>
          <w:r>
            <w:tab/>
          </w:r>
          <w:r>
            <w:fldChar w:fldCharType="begin"/>
          </w:r>
          <w:r>
            <w:instrText xml:space="preserve"> PAGEREF _Toc27283 \h </w:instrText>
          </w:r>
          <w:r>
            <w:fldChar w:fldCharType="separate"/>
          </w:r>
          <w:r>
            <w:t>15</w:t>
          </w:r>
          <w:r>
            <w:fldChar w:fldCharType="end"/>
          </w:r>
          <w:r>
            <w:rPr>
              <w:rFonts w:hint="eastAsia" w:ascii="宋体" w:hAnsi="宋体" w:cs="宋体"/>
              <w:color w:val="FF0000"/>
              <w:szCs w:val="21"/>
            </w:rPr>
            <w:fldChar w:fldCharType="end"/>
          </w:r>
        </w:p>
        <w:p w14:paraId="055B8214">
          <w:pPr>
            <w:pStyle w:val="17"/>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_Toc26645 </w:instrText>
          </w:r>
          <w:r>
            <w:rPr>
              <w:rFonts w:hint="eastAsia" w:ascii="宋体" w:hAnsi="宋体" w:cs="宋体"/>
              <w:szCs w:val="21"/>
            </w:rPr>
            <w:fldChar w:fldCharType="separate"/>
          </w:r>
          <w:r>
            <w:rPr>
              <w:rFonts w:hint="default"/>
              <w:shd w:val="clear" w:color="auto" w:fill="FFFFFF"/>
            </w:rPr>
            <w:t>4.2</w:t>
          </w:r>
          <w:r>
            <w:rPr>
              <w:shd w:val="clear" w:color="auto" w:fill="FFFFFF"/>
            </w:rPr>
            <w:t xml:space="preserve">  建议</w:t>
          </w:r>
          <w:r>
            <w:tab/>
          </w:r>
          <w:r>
            <w:fldChar w:fldCharType="begin"/>
          </w:r>
          <w:r>
            <w:instrText xml:space="preserve"> PAGEREF _Toc26645 \h </w:instrText>
          </w:r>
          <w:r>
            <w:fldChar w:fldCharType="separate"/>
          </w:r>
          <w:r>
            <w:t>15</w:t>
          </w:r>
          <w:r>
            <w:fldChar w:fldCharType="end"/>
          </w:r>
          <w:r>
            <w:rPr>
              <w:rFonts w:hint="eastAsia" w:ascii="宋体" w:hAnsi="宋体" w:cs="宋体"/>
              <w:color w:val="FF0000"/>
              <w:szCs w:val="21"/>
            </w:rPr>
            <w:fldChar w:fldCharType="end"/>
          </w:r>
        </w:p>
        <w:p w14:paraId="3779A0BF">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_Toc9955 </w:instrText>
          </w:r>
          <w:r>
            <w:rPr>
              <w:rFonts w:hint="eastAsia" w:ascii="宋体" w:hAnsi="宋体" w:cs="宋体"/>
              <w:szCs w:val="21"/>
            </w:rPr>
            <w:fldChar w:fldCharType="separate"/>
          </w:r>
          <w:r>
            <w:t>4.2.1  加强应收账款管理</w:t>
          </w:r>
          <w:r>
            <w:tab/>
          </w:r>
          <w:r>
            <w:fldChar w:fldCharType="begin"/>
          </w:r>
          <w:r>
            <w:instrText xml:space="preserve"> PAGEREF _Toc9955 \h </w:instrText>
          </w:r>
          <w:r>
            <w:fldChar w:fldCharType="separate"/>
          </w:r>
          <w:r>
            <w:t>15</w:t>
          </w:r>
          <w:r>
            <w:fldChar w:fldCharType="end"/>
          </w:r>
          <w:r>
            <w:rPr>
              <w:rFonts w:hint="eastAsia" w:ascii="宋体" w:hAnsi="宋体" w:cs="宋体"/>
              <w:color w:val="FF0000"/>
              <w:szCs w:val="21"/>
            </w:rPr>
            <w:fldChar w:fldCharType="end"/>
          </w:r>
        </w:p>
        <w:p w14:paraId="14DC44D5">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_Toc20649 </w:instrText>
          </w:r>
          <w:r>
            <w:rPr>
              <w:rFonts w:hint="eastAsia" w:ascii="宋体" w:hAnsi="宋体" w:cs="宋体"/>
              <w:szCs w:val="21"/>
            </w:rPr>
            <w:fldChar w:fldCharType="separate"/>
          </w:r>
          <w:r>
            <w:t xml:space="preserve">4.2.2  </w:t>
          </w:r>
          <w:r>
            <w:rPr>
              <w:bCs w:val="0"/>
            </w:rPr>
            <w:t>提高资产使用效率</w:t>
          </w:r>
          <w:r>
            <w:tab/>
          </w:r>
          <w:r>
            <w:fldChar w:fldCharType="begin"/>
          </w:r>
          <w:r>
            <w:instrText xml:space="preserve"> PAGEREF _Toc20649 \h </w:instrText>
          </w:r>
          <w:r>
            <w:fldChar w:fldCharType="separate"/>
          </w:r>
          <w:r>
            <w:t>15</w:t>
          </w:r>
          <w:r>
            <w:fldChar w:fldCharType="end"/>
          </w:r>
          <w:r>
            <w:rPr>
              <w:rFonts w:hint="eastAsia" w:ascii="宋体" w:hAnsi="宋体" w:cs="宋体"/>
              <w:color w:val="FF0000"/>
              <w:szCs w:val="21"/>
            </w:rPr>
            <w:fldChar w:fldCharType="end"/>
          </w:r>
        </w:p>
        <w:p w14:paraId="268EC3E6">
          <w:pPr>
            <w:pStyle w:val="9"/>
            <w:tabs>
              <w:tab w:val="right" w:leader="dot" w:pos="8306"/>
            </w:tabs>
          </w:pPr>
          <w:r>
            <w:rPr>
              <w:rFonts w:hint="eastAsia" w:ascii="宋体" w:hAnsi="宋体" w:cs="宋体"/>
              <w:color w:val="FF0000"/>
              <w:szCs w:val="21"/>
            </w:rPr>
            <w:fldChar w:fldCharType="begin"/>
          </w:r>
          <w:r>
            <w:rPr>
              <w:rFonts w:hint="eastAsia" w:ascii="宋体" w:hAnsi="宋体" w:cs="宋体"/>
              <w:szCs w:val="21"/>
            </w:rPr>
            <w:instrText xml:space="preserve"> HYPERLINK \l _Toc15416 </w:instrText>
          </w:r>
          <w:r>
            <w:rPr>
              <w:rFonts w:hint="eastAsia" w:ascii="宋体" w:hAnsi="宋体" w:cs="宋体"/>
              <w:szCs w:val="21"/>
            </w:rPr>
            <w:fldChar w:fldCharType="separate"/>
          </w:r>
          <w:r>
            <w:rPr>
              <w:rFonts w:hint="eastAsia"/>
              <w:shd w:val="clear" w:color="auto" w:fill="FFFFFF"/>
            </w:rPr>
            <w:t>4.2.3  优化业务结构</w:t>
          </w:r>
          <w:r>
            <w:tab/>
          </w:r>
          <w:r>
            <w:fldChar w:fldCharType="begin"/>
          </w:r>
          <w:r>
            <w:instrText xml:space="preserve"> PAGEREF _Toc15416 \h </w:instrText>
          </w:r>
          <w:r>
            <w:fldChar w:fldCharType="separate"/>
          </w:r>
          <w:r>
            <w:t>16</w:t>
          </w:r>
          <w:r>
            <w:fldChar w:fldCharType="end"/>
          </w:r>
          <w:r>
            <w:rPr>
              <w:rFonts w:hint="eastAsia" w:ascii="宋体" w:hAnsi="宋体" w:cs="宋体"/>
              <w:color w:val="FF0000"/>
              <w:szCs w:val="21"/>
            </w:rPr>
            <w:fldChar w:fldCharType="end"/>
          </w:r>
        </w:p>
        <w:p w14:paraId="0AD25004">
          <w:pPr>
            <w:pStyle w:val="15"/>
          </w:pPr>
          <w:r>
            <w:rPr>
              <w:rFonts w:hint="eastAsia" w:ascii="宋体" w:hAnsi="宋体" w:cs="宋体"/>
              <w:color w:val="FF0000"/>
              <w:szCs w:val="21"/>
            </w:rPr>
            <w:fldChar w:fldCharType="begin"/>
          </w:r>
          <w:r>
            <w:rPr>
              <w:rFonts w:hint="eastAsia" w:ascii="宋体" w:hAnsi="宋体" w:cs="宋体"/>
              <w:szCs w:val="21"/>
            </w:rPr>
            <w:instrText xml:space="preserve"> HYPERLINK \l _Toc11419 </w:instrText>
          </w:r>
          <w:r>
            <w:rPr>
              <w:rFonts w:hint="eastAsia" w:ascii="宋体" w:hAnsi="宋体" w:cs="宋体"/>
              <w:szCs w:val="21"/>
            </w:rPr>
            <w:fldChar w:fldCharType="separate"/>
          </w:r>
          <w:r>
            <w:rPr>
              <w:rFonts w:hint="eastAsia"/>
            </w:rPr>
            <w:t>参考文献</w:t>
          </w:r>
          <w:r>
            <w:tab/>
          </w:r>
          <w:r>
            <w:fldChar w:fldCharType="begin"/>
          </w:r>
          <w:r>
            <w:instrText xml:space="preserve"> PAGEREF _Toc11419 \h </w:instrText>
          </w:r>
          <w:r>
            <w:fldChar w:fldCharType="separate"/>
          </w:r>
          <w:r>
            <w:t>17</w:t>
          </w:r>
          <w:r>
            <w:fldChar w:fldCharType="end"/>
          </w:r>
          <w:r>
            <w:rPr>
              <w:rFonts w:hint="eastAsia" w:ascii="宋体" w:hAnsi="宋体" w:cs="宋体"/>
              <w:color w:val="FF0000"/>
              <w:szCs w:val="21"/>
            </w:rPr>
            <w:fldChar w:fldCharType="end"/>
          </w:r>
        </w:p>
        <w:p w14:paraId="2B1DD776">
          <w:pPr>
            <w:tabs>
              <w:tab w:val="left" w:pos="360"/>
              <w:tab w:val="left" w:pos="540"/>
            </w:tabs>
            <w:spacing w:line="300" w:lineRule="auto"/>
            <w:ind w:firstLine="480"/>
            <w:jc w:val="left"/>
            <w:rPr>
              <w:rFonts w:hint="eastAsia" w:ascii="宋体" w:hAnsi="宋体" w:cs="宋体"/>
              <w:color w:val="FF0000"/>
            </w:rPr>
          </w:pPr>
          <w:r>
            <w:rPr>
              <w:rFonts w:hint="eastAsia" w:ascii="宋体" w:hAnsi="宋体" w:cs="宋体"/>
              <w:color w:val="FF0000"/>
              <w:szCs w:val="21"/>
            </w:rPr>
            <w:fldChar w:fldCharType="end"/>
          </w:r>
        </w:p>
      </w:sdtContent>
    </w:sdt>
    <w:p w14:paraId="32DF8A88">
      <w:pPr>
        <w:tabs>
          <w:tab w:val="left" w:pos="360"/>
          <w:tab w:val="left" w:pos="540"/>
        </w:tabs>
        <w:spacing w:line="300" w:lineRule="auto"/>
        <w:ind w:firstLine="480"/>
        <w:jc w:val="left"/>
        <w:rPr>
          <w:rFonts w:hint="eastAsia" w:ascii="宋体" w:hAnsi="宋体" w:cs="宋体"/>
          <w:color w:val="FF0000"/>
        </w:rPr>
        <w:sectPr>
          <w:footerReference r:id="rId11" w:type="default"/>
          <w:pgSz w:w="11906" w:h="16838"/>
          <w:pgMar w:top="1440" w:right="1800" w:bottom="1440" w:left="1800" w:header="851" w:footer="992" w:gutter="0"/>
          <w:pgNumType w:fmt="upperRoman" w:start="1"/>
          <w:cols w:space="720" w:num="1"/>
          <w:docGrid w:type="lines" w:linePitch="326" w:charSpace="0"/>
        </w:sectPr>
      </w:pPr>
    </w:p>
    <w:p w14:paraId="44D253E1">
      <w:pPr>
        <w:pStyle w:val="2"/>
        <w:spacing w:before="312" w:after="312"/>
      </w:pPr>
      <w:bookmarkStart w:id="13" w:name="_Toc21207"/>
      <w:bookmarkStart w:id="14" w:name="_Toc1884"/>
      <w:bookmarkStart w:id="15" w:name="_Toc32450"/>
      <w:bookmarkStart w:id="16" w:name="_Toc32357"/>
      <w:bookmarkStart w:id="17" w:name="_Toc11944"/>
      <w:r>
        <w:t>引言</w:t>
      </w:r>
      <w:bookmarkEnd w:id="13"/>
      <w:bookmarkEnd w:id="14"/>
      <w:bookmarkEnd w:id="15"/>
      <w:bookmarkEnd w:id="16"/>
      <w:bookmarkEnd w:id="17"/>
    </w:p>
    <w:p w14:paraId="53E8BBB9">
      <w:pPr>
        <w:ind w:firstLine="480"/>
      </w:pPr>
      <w:r>
        <w:rPr>
          <w:rFonts w:ascii="Segoe UI" w:hAnsi="Segoe UI" w:cs="Segoe UI"/>
          <w:color w:val="0F1115"/>
          <w:shd w:val="clear" w:color="auto" w:fill="FFFFFF"/>
        </w:rPr>
        <w:t>改革开放以来，我国工业经济快速增长，但资源消耗大、利用效率低、环境压力加重等问题日益突出。</w:t>
      </w:r>
      <w:r>
        <w:t>201</w:t>
      </w:r>
      <w:r>
        <w:rPr>
          <w:rFonts w:hint="eastAsia"/>
        </w:rPr>
        <w:t>2</w:t>
      </w:r>
      <w:r>
        <w:rPr>
          <w:rFonts w:ascii="Segoe UI" w:hAnsi="Segoe UI" w:cs="Segoe UI"/>
          <w:color w:val="0F1115"/>
          <w:shd w:val="clear" w:color="auto" w:fill="FFFFFF"/>
        </w:rPr>
        <w:t>年，</w:t>
      </w:r>
      <w:r>
        <w:rPr>
          <w:rFonts w:hint="eastAsia" w:ascii="Segoe UI" w:hAnsi="Segoe UI" w:cs="Segoe UI"/>
          <w:color w:val="0F1115"/>
          <w:shd w:val="clear" w:color="auto" w:fill="FFFFFF"/>
        </w:rPr>
        <w:t>“</w:t>
      </w:r>
      <w:r>
        <w:rPr>
          <w:rFonts w:ascii="Segoe UI" w:hAnsi="Segoe UI" w:cs="Segoe UI"/>
          <w:color w:val="0F1115"/>
          <w:shd w:val="clear" w:color="auto" w:fill="FFFFFF"/>
        </w:rPr>
        <w:t>五位一体</w:t>
      </w:r>
      <w:r>
        <w:rPr>
          <w:rFonts w:hint="eastAsia" w:ascii="Segoe UI" w:hAnsi="Segoe UI" w:cs="Segoe UI"/>
          <w:color w:val="0F1115"/>
          <w:shd w:val="clear" w:color="auto" w:fill="FFFFFF"/>
        </w:rPr>
        <w:t>”</w:t>
      </w:r>
      <w:r>
        <w:rPr>
          <w:rFonts w:ascii="Segoe UI" w:hAnsi="Segoe UI" w:cs="Segoe UI"/>
          <w:color w:val="0F1115"/>
          <w:shd w:val="clear" w:color="auto" w:fill="FFFFFF"/>
        </w:rPr>
        <w:t>总体布局将生态文明建设提升至国家战略高度，企业绿色转型成为必然选择。许多传统重污染企业开始调整发展方向，积极布局清洁能源领域。川能动力正是其中的代表，通过收购风电、锂电及环保资产，成功从传统</w:t>
      </w:r>
      <w:r>
        <w:rPr>
          <w:rFonts w:hint="eastAsia" w:ascii="Segoe UI" w:hAnsi="Segoe UI" w:cs="Segoe UI"/>
          <w:color w:val="0F1115"/>
          <w:shd w:val="clear" w:color="auto" w:fill="FFFFFF"/>
        </w:rPr>
        <w:t>的重污染</w:t>
      </w:r>
      <w:r>
        <w:rPr>
          <w:rFonts w:ascii="Segoe UI" w:hAnsi="Segoe UI" w:cs="Segoe UI"/>
          <w:color w:val="0F1115"/>
          <w:shd w:val="clear" w:color="auto" w:fill="FFFFFF"/>
        </w:rPr>
        <w:t>化工企业转型为以新能源发电和锂电业务为核心的公司。但</w:t>
      </w:r>
      <w:bookmarkStart w:id="18" w:name="OLE_LINK79"/>
      <w:r>
        <w:rPr>
          <w:rFonts w:ascii="Segoe UI" w:hAnsi="Segoe UI" w:cs="Segoe UI"/>
          <w:color w:val="0F1115"/>
          <w:shd w:val="clear" w:color="auto" w:fill="FFFFFF"/>
        </w:rPr>
        <w:t>新能源行业具有投资规</w:t>
      </w:r>
      <w:bookmarkEnd w:id="18"/>
      <w:r>
        <w:rPr>
          <w:rFonts w:ascii="Segoe UI" w:hAnsi="Segoe UI" w:cs="Segoe UI"/>
          <w:color w:val="0F1115"/>
          <w:shd w:val="clear" w:color="auto" w:fill="FFFFFF"/>
        </w:rPr>
        <w:t>模大、项目回收期长、受原材料价格波动影响明显等特点，在绿色转型过程中的财务绩效容易出现波动。</w:t>
      </w:r>
      <w:bookmarkStart w:id="19" w:name="OLE_LINK78"/>
      <w:r>
        <w:rPr>
          <w:rFonts w:ascii="Segoe UI" w:hAnsi="Segoe UI" w:cs="Segoe UI"/>
          <w:color w:val="0F1115"/>
          <w:shd w:val="clear" w:color="auto" w:fill="FFFFFF"/>
        </w:rPr>
        <w:t>因此，</w:t>
      </w:r>
      <w:r>
        <w:rPr>
          <w:rFonts w:hint="eastAsia" w:ascii="Segoe UI" w:hAnsi="Segoe UI" w:cs="Segoe UI"/>
          <w:color w:val="0F1115"/>
          <w:shd w:val="clear" w:color="auto" w:fill="FFFFFF"/>
        </w:rPr>
        <w:t>深入分析</w:t>
      </w:r>
      <w:r>
        <w:rPr>
          <w:rFonts w:ascii="Segoe UI" w:hAnsi="Segoe UI" w:cs="Segoe UI"/>
          <w:color w:val="0F1115"/>
          <w:shd w:val="clear" w:color="auto" w:fill="FFFFFF"/>
        </w:rPr>
        <w:t>川能动力绿色转型背景下的财务绩效状况，对</w:t>
      </w:r>
      <w:r>
        <w:rPr>
          <w:rFonts w:hint="eastAsia" w:ascii="Segoe UI" w:hAnsi="Segoe UI" w:cs="Segoe UI"/>
          <w:color w:val="0F1115"/>
          <w:shd w:val="clear" w:color="auto" w:fill="FFFFFF"/>
        </w:rPr>
        <w:t>川能动力以及整个新能源行业的发展都</w:t>
      </w:r>
      <w:r>
        <w:rPr>
          <w:rFonts w:ascii="Segoe UI" w:hAnsi="Segoe UI" w:cs="Segoe UI"/>
          <w:color w:val="0F1115"/>
          <w:shd w:val="clear" w:color="auto" w:fill="FFFFFF"/>
        </w:rPr>
        <w:t>具有</w:t>
      </w:r>
      <w:r>
        <w:rPr>
          <w:rFonts w:hint="eastAsia" w:ascii="Segoe UI" w:hAnsi="Segoe UI" w:cs="Segoe UI"/>
          <w:color w:val="0F1115"/>
          <w:shd w:val="clear" w:color="auto" w:fill="FFFFFF"/>
        </w:rPr>
        <w:t>重要</w:t>
      </w:r>
      <w:r>
        <w:rPr>
          <w:rFonts w:ascii="Segoe UI" w:hAnsi="Segoe UI" w:cs="Segoe UI"/>
          <w:color w:val="0F1115"/>
          <w:shd w:val="clear" w:color="auto" w:fill="FFFFFF"/>
        </w:rPr>
        <w:t>意义。</w:t>
      </w:r>
    </w:p>
    <w:bookmarkEnd w:id="19"/>
    <w:p w14:paraId="22769202">
      <w:pPr>
        <w:ind w:firstLine="480"/>
      </w:pPr>
      <w:r>
        <w:rPr>
          <w:rFonts w:hint="eastAsia"/>
        </w:rPr>
        <w:t>学术界关于绿色转型的研究集中在以下几个方面：一、</w:t>
      </w:r>
      <w:r>
        <w:t>绿色转型</w:t>
      </w:r>
      <w:r>
        <w:rPr>
          <w:rFonts w:hint="eastAsia"/>
        </w:rPr>
        <w:t>的</w:t>
      </w:r>
      <w:r>
        <w:t>内涵，</w:t>
      </w:r>
      <w:r>
        <w:rPr>
          <w:rFonts w:hint="eastAsia"/>
        </w:rPr>
        <w:t>国外学者认为，绿色转型是指由传统高耗能、高污染模式转向低碳发展模式，通过打破资源限制、优化生态协同关系，推动经济社会的发展。（Janson A</w:t>
      </w:r>
      <w:r>
        <w:rPr>
          <w:rFonts w:hint="eastAsia" w:ascii="宋体" w:hAnsi="宋体"/>
        </w:rPr>
        <w:t>，</w:t>
      </w:r>
      <w:r>
        <w:rPr>
          <w:rFonts w:hint="eastAsia"/>
        </w:rPr>
        <w:t>2013）国内学者认为，企业绿色转型是在绿色发展理念指导下，以资源节约和环境友好为原则，依靠绿色创新驱动各生产环节的绿色改造，从而同步提升经济效益与环境效益的一种模式</w:t>
      </w:r>
      <w:r>
        <w:t>（</w:t>
      </w:r>
      <w:r>
        <w:rPr>
          <w:rFonts w:hint="eastAsia"/>
        </w:rPr>
        <w:t>万</w:t>
      </w:r>
      <w:r>
        <w:t>攀兵等</w:t>
      </w:r>
      <w:bookmarkStart w:id="20" w:name="OLE_LINK34"/>
      <w:r>
        <w:rPr>
          <w:rFonts w:hint="eastAsia" w:ascii="宋体" w:hAnsi="宋体"/>
        </w:rPr>
        <w:t>，</w:t>
      </w:r>
      <w:r>
        <w:t>2021</w:t>
      </w:r>
      <w:bookmarkEnd w:id="20"/>
      <w:r>
        <w:t>）</w:t>
      </w:r>
      <w:r>
        <w:rPr>
          <w:rFonts w:hint="eastAsia"/>
        </w:rPr>
        <w:t>。二、</w:t>
      </w:r>
      <w:r>
        <w:t>绿色转型</w:t>
      </w:r>
      <w:r>
        <w:rPr>
          <w:rFonts w:hint="eastAsia"/>
        </w:rPr>
        <w:t>的</w:t>
      </w:r>
      <w:r>
        <w:t>动因，</w:t>
      </w:r>
      <w:r>
        <w:rPr>
          <w:rFonts w:hint="eastAsia"/>
        </w:rPr>
        <w:t>企业实施绿色转型的动因来源于内部与外部的两个因素（郭丕斌和张爱琴</w:t>
      </w:r>
      <w:r>
        <w:rPr>
          <w:rFonts w:hint="eastAsia" w:ascii="宋体" w:hAnsi="宋体"/>
        </w:rPr>
        <w:t>，</w:t>
      </w:r>
      <w:r>
        <w:rPr>
          <w:rFonts w:hint="eastAsia"/>
        </w:rPr>
        <w:t>2021）。在内部因素方面，企业高层管理者是否具备绿色战略意识和对可持续发展的看重程度，直接影响其主动投入资源开展绿色创新与转型的意愿（解学梅和韩宇航</w:t>
      </w:r>
      <w:r>
        <w:rPr>
          <w:rFonts w:hint="eastAsia" w:ascii="宋体" w:hAnsi="宋体"/>
        </w:rPr>
        <w:t>，</w:t>
      </w:r>
      <w:r>
        <w:rPr>
          <w:rFonts w:hint="eastAsia"/>
        </w:rPr>
        <w:t>2022）。在外部因素方面，随着环境政策要求日益严格，高污染企业面临治理成本和行政处罚的双重压力，这促使企业加快绿色转型以实现降本增效（吕鹏</w:t>
      </w:r>
      <w:r>
        <w:rPr>
          <w:rFonts w:hint="eastAsia" w:ascii="宋体" w:hAnsi="宋体"/>
        </w:rPr>
        <w:t>，</w:t>
      </w:r>
      <w:r>
        <w:rPr>
          <w:rFonts w:hint="eastAsia"/>
        </w:rPr>
        <w:t>2021）。三、绿色转型和</w:t>
      </w:r>
      <w:r>
        <w:t>财务绩效方面，</w:t>
      </w:r>
      <w:r>
        <w:rPr>
          <w:rFonts w:hint="eastAsia"/>
        </w:rPr>
        <w:t>有的学者以绿色管理与战略导向为研究视角，通过实证分析发现二者均能显著提升企业财务绩效，</w:t>
      </w:r>
      <w:bookmarkStart w:id="21" w:name="OLE_LINK8"/>
      <w:r>
        <w:rPr>
          <w:rFonts w:hint="eastAsia"/>
        </w:rPr>
        <w:t>且战略导向的存</w:t>
      </w:r>
      <w:bookmarkEnd w:id="21"/>
      <w:r>
        <w:rPr>
          <w:rFonts w:hint="eastAsia"/>
        </w:rPr>
        <w:t>在可进一步强化绿色管理对企业财务绩效的作用</w:t>
      </w:r>
      <w:r>
        <w:rPr>
          <w:rFonts w:hint="eastAsia" w:ascii="宋体" w:hAnsi="宋体" w:cs="宋体"/>
        </w:rPr>
        <w:t>（任立改，</w:t>
      </w:r>
      <w:r>
        <w:rPr>
          <w:rFonts w:hint="eastAsia"/>
        </w:rPr>
        <w:t>2021</w:t>
      </w:r>
      <w:r>
        <w:rPr>
          <w:rFonts w:hint="eastAsia" w:ascii="宋体" w:hAnsi="宋体" w:cs="宋体"/>
        </w:rPr>
        <w:t>）。</w:t>
      </w:r>
      <w:r>
        <w:rPr>
          <w:rFonts w:hint="eastAsia"/>
        </w:rPr>
        <w:t>有的学者以海螺水泥公司为研究对象，运用熵权法对企业的盈利能力、偿债能力、营运能力和发展能力四个维度进行分析，研究结果表明绿色转型有效的提升了企业的财务绩效（张海燕，2024）。</w:t>
      </w:r>
    </w:p>
    <w:p w14:paraId="666D9F01">
      <w:pPr>
        <w:ind w:firstLine="480"/>
        <w:rPr>
          <w:rFonts w:ascii="Segoe UI" w:hAnsi="Segoe UI" w:cs="Segoe UI"/>
          <w:color w:val="0F1115"/>
          <w:shd w:val="clear" w:color="auto" w:fill="FFFFFF"/>
        </w:rPr>
      </w:pPr>
      <w:r>
        <w:rPr>
          <w:rFonts w:hint="eastAsia" w:ascii="Segoe UI" w:hAnsi="Segoe UI" w:cs="Segoe UI"/>
          <w:color w:val="0F1115"/>
          <w:shd w:val="clear" w:color="auto" w:fill="FFFFFF"/>
        </w:rPr>
        <w:t>国内外</w:t>
      </w:r>
      <w:r>
        <w:rPr>
          <w:rFonts w:ascii="Segoe UI" w:hAnsi="Segoe UI" w:cs="Segoe UI"/>
          <w:color w:val="0F1115"/>
          <w:shd w:val="clear" w:color="auto" w:fill="FFFFFF"/>
        </w:rPr>
        <w:t>学者在该</w:t>
      </w:r>
      <w:bookmarkStart w:id="22" w:name="OLE_LINK37"/>
      <w:r>
        <w:rPr>
          <w:rFonts w:ascii="Segoe UI" w:hAnsi="Segoe UI" w:cs="Segoe UI"/>
          <w:color w:val="0F1115"/>
          <w:shd w:val="clear" w:color="auto" w:fill="FFFFFF"/>
        </w:rPr>
        <w:t>领域已获得不少成果</w:t>
      </w:r>
      <w:r>
        <w:rPr>
          <w:rFonts w:hint="eastAsia" w:ascii="Segoe UI" w:hAnsi="Segoe UI" w:cs="Segoe UI"/>
          <w:color w:val="0F1115"/>
          <w:shd w:val="clear" w:color="auto" w:fill="FFFFFF"/>
        </w:rPr>
        <w:t>，</w:t>
      </w:r>
      <w:bookmarkStart w:id="23" w:name="OLE_LINK72"/>
      <w:r>
        <w:rPr>
          <w:rFonts w:hint="eastAsia" w:ascii="Segoe UI" w:hAnsi="Segoe UI" w:cs="Segoe UI"/>
          <w:color w:val="0F1115"/>
          <w:shd w:val="clear" w:color="auto" w:fill="FFFFFF"/>
        </w:rPr>
        <w:t>但</w:t>
      </w:r>
      <w:r>
        <w:rPr>
          <w:rFonts w:ascii="Segoe UI" w:hAnsi="Segoe UI" w:cs="Segoe UI"/>
          <w:color w:val="0F1115"/>
          <w:shd w:val="clear" w:color="auto" w:fill="FFFFFF"/>
        </w:rPr>
        <w:t>现有研究多聚焦于重污染企业在原有业务框架内通过技术升级实现绿色转型</w:t>
      </w:r>
      <w:r>
        <w:rPr>
          <w:rFonts w:hint="eastAsia" w:ascii="Segoe UI" w:hAnsi="Segoe UI" w:cs="Segoe UI"/>
          <w:color w:val="0F1115"/>
          <w:shd w:val="clear" w:color="auto" w:fill="FFFFFF"/>
        </w:rPr>
        <w:t>，</w:t>
      </w:r>
      <w:r>
        <w:rPr>
          <w:rFonts w:ascii="Segoe UI" w:hAnsi="Segoe UI" w:cs="Segoe UI"/>
          <w:color w:val="0F1115"/>
          <w:shd w:val="clear" w:color="auto" w:fill="FFFFFF"/>
        </w:rPr>
        <w:t>对放弃原</w:t>
      </w:r>
      <w:bookmarkStart w:id="24" w:name="OLE_LINK59"/>
      <w:r>
        <w:rPr>
          <w:rFonts w:ascii="Segoe UI" w:hAnsi="Segoe UI" w:cs="Segoe UI"/>
          <w:color w:val="0F1115"/>
          <w:shd w:val="clear" w:color="auto" w:fill="FFFFFF"/>
        </w:rPr>
        <w:t>有重污染主业</w:t>
      </w:r>
      <w:bookmarkEnd w:id="24"/>
      <w:r>
        <w:rPr>
          <w:rFonts w:ascii="Segoe UI" w:hAnsi="Segoe UI" w:cs="Segoe UI"/>
          <w:color w:val="0F1115"/>
          <w:shd w:val="clear" w:color="auto" w:fill="FFFFFF"/>
        </w:rPr>
        <w:t>、跨界进入新能源发电和锂</w:t>
      </w:r>
      <w:r>
        <w:rPr>
          <w:rFonts w:hint="eastAsia" w:ascii="Segoe UI" w:hAnsi="Segoe UI" w:cs="Segoe UI"/>
          <w:color w:val="0F1115"/>
          <w:shd w:val="clear" w:color="auto" w:fill="FFFFFF"/>
        </w:rPr>
        <w:t>电业务</w:t>
      </w:r>
      <w:r>
        <w:rPr>
          <w:rFonts w:ascii="Segoe UI" w:hAnsi="Segoe UI" w:cs="Segoe UI"/>
          <w:color w:val="0F1115"/>
          <w:shd w:val="clear" w:color="auto" w:fill="FFFFFF"/>
        </w:rPr>
        <w:t>领域的</w:t>
      </w:r>
      <w:r>
        <w:rPr>
          <w:rFonts w:hint="eastAsia" w:ascii="Segoe UI" w:hAnsi="Segoe UI" w:cs="Segoe UI"/>
          <w:color w:val="0F1115"/>
          <w:shd w:val="clear" w:color="auto" w:fill="FFFFFF"/>
        </w:rPr>
        <w:t>绿色</w:t>
      </w:r>
      <w:r>
        <w:rPr>
          <w:rFonts w:ascii="Segoe UI" w:hAnsi="Segoe UI" w:cs="Segoe UI"/>
          <w:color w:val="0F1115"/>
          <w:shd w:val="clear" w:color="auto" w:fill="FFFFFF"/>
        </w:rPr>
        <w:t>转型研究</w:t>
      </w:r>
      <w:r>
        <w:rPr>
          <w:rFonts w:hint="eastAsia" w:ascii="Segoe UI" w:hAnsi="Segoe UI" w:cs="Segoe UI"/>
          <w:color w:val="0F1115"/>
          <w:shd w:val="clear" w:color="auto" w:fill="FFFFFF"/>
        </w:rPr>
        <w:t>相对</w:t>
      </w:r>
      <w:r>
        <w:rPr>
          <w:rFonts w:ascii="Segoe UI" w:hAnsi="Segoe UI" w:cs="Segoe UI"/>
          <w:color w:val="0F1115"/>
          <w:shd w:val="clear" w:color="auto" w:fill="FFFFFF"/>
        </w:rPr>
        <w:t>较少。</w:t>
      </w:r>
      <w:bookmarkEnd w:id="23"/>
      <w:bookmarkStart w:id="25" w:name="OLE_LINK77"/>
      <w:r>
        <w:rPr>
          <w:rFonts w:hint="eastAsia" w:ascii="Segoe UI" w:hAnsi="Segoe UI" w:cs="Segoe UI"/>
          <w:color w:val="0F1115"/>
          <w:shd w:val="clear" w:color="auto" w:fill="FFFFFF"/>
        </w:rPr>
        <w:t>因此</w:t>
      </w:r>
      <w:r>
        <w:rPr>
          <w:rFonts w:ascii="Segoe UI" w:hAnsi="Segoe UI" w:cs="Segoe UI"/>
          <w:color w:val="0F1115"/>
          <w:shd w:val="clear" w:color="auto" w:fill="FFFFFF"/>
        </w:rPr>
        <w:t>，本文选取川能动力作为研究对象，建</w:t>
      </w:r>
      <w:bookmarkStart w:id="26" w:name="OLE_LINK75"/>
      <w:r>
        <w:rPr>
          <w:rFonts w:ascii="Segoe UI" w:hAnsi="Segoe UI" w:cs="Segoe UI"/>
          <w:color w:val="0F1115"/>
          <w:shd w:val="clear" w:color="auto" w:fill="FFFFFF"/>
        </w:rPr>
        <w:t>立</w:t>
      </w:r>
      <w:bookmarkStart w:id="27" w:name="OLE_LINK76"/>
      <w:r>
        <w:rPr>
          <w:rFonts w:ascii="Segoe UI" w:hAnsi="Segoe UI" w:cs="Segoe UI"/>
          <w:color w:val="0F1115"/>
          <w:shd w:val="clear" w:color="auto" w:fill="FFFFFF"/>
        </w:rPr>
        <w:t>基于熵值法的财务绩效评价</w:t>
      </w:r>
      <w:bookmarkEnd w:id="26"/>
      <w:r>
        <w:rPr>
          <w:rFonts w:ascii="Segoe UI" w:hAnsi="Segoe UI" w:cs="Segoe UI"/>
          <w:color w:val="0F1115"/>
          <w:shd w:val="clear" w:color="auto" w:fill="FFFFFF"/>
        </w:rPr>
        <w:t>体</w:t>
      </w:r>
      <w:bookmarkEnd w:id="27"/>
      <w:r>
        <w:rPr>
          <w:rFonts w:ascii="Segoe UI" w:hAnsi="Segoe UI" w:cs="Segoe UI"/>
          <w:color w:val="0F1115"/>
          <w:shd w:val="clear" w:color="auto" w:fill="FFFFFF"/>
        </w:rPr>
        <w:t>系，从偿债能力、营运能力、盈利能力和发展能力四个维</w:t>
      </w:r>
      <w:bookmarkEnd w:id="22"/>
      <w:r>
        <w:rPr>
          <w:rFonts w:ascii="Segoe UI" w:hAnsi="Segoe UI" w:cs="Segoe UI"/>
          <w:color w:val="0F1115"/>
          <w:shd w:val="clear" w:color="auto" w:fill="FFFFFF"/>
        </w:rPr>
        <w:t>度</w:t>
      </w:r>
      <w:r>
        <w:rPr>
          <w:rFonts w:hint="eastAsia" w:ascii="Segoe UI" w:hAnsi="Segoe UI" w:cs="Segoe UI"/>
          <w:color w:val="0F1115"/>
          <w:shd w:val="clear" w:color="auto" w:fill="FFFFFF"/>
        </w:rPr>
        <w:t>进行分析评价</w:t>
      </w:r>
      <w:r>
        <w:rPr>
          <w:rFonts w:ascii="Segoe UI" w:hAnsi="Segoe UI" w:cs="Segoe UI"/>
          <w:color w:val="0F1115"/>
          <w:shd w:val="clear" w:color="auto" w:fill="FFFFFF"/>
        </w:rPr>
        <w:t>，并提出</w:t>
      </w:r>
      <w:r>
        <w:rPr>
          <w:rFonts w:hint="eastAsia" w:ascii="Segoe UI" w:hAnsi="Segoe UI" w:cs="Segoe UI"/>
          <w:color w:val="0F1115"/>
          <w:shd w:val="clear" w:color="auto" w:fill="FFFFFF"/>
        </w:rPr>
        <w:t>存在的问题和</w:t>
      </w:r>
      <w:r>
        <w:rPr>
          <w:rFonts w:ascii="Segoe UI" w:hAnsi="Segoe UI" w:cs="Segoe UI"/>
          <w:color w:val="0F1115"/>
          <w:shd w:val="clear" w:color="auto" w:fill="FFFFFF"/>
        </w:rPr>
        <w:t>有针对性的</w:t>
      </w:r>
      <w:r>
        <w:rPr>
          <w:rFonts w:hint="eastAsia" w:ascii="Segoe UI" w:hAnsi="Segoe UI" w:cs="Segoe UI"/>
          <w:color w:val="0F1115"/>
          <w:shd w:val="clear" w:color="auto" w:fill="FFFFFF"/>
        </w:rPr>
        <w:t>改进措施，希望可以给同类企业提供参考。</w:t>
      </w:r>
      <w:bookmarkEnd w:id="25"/>
    </w:p>
    <w:p w14:paraId="1679E107">
      <w:pPr>
        <w:pStyle w:val="2"/>
        <w:spacing w:before="312" w:after="312"/>
        <w:rPr>
          <w:rFonts w:ascii="Segoe UI" w:hAnsi="Segoe UI"/>
          <w:shd w:val="clear" w:color="auto" w:fill="FFFFFF"/>
        </w:rPr>
      </w:pPr>
      <w:bookmarkStart w:id="28" w:name="OLE_LINK36"/>
      <w:bookmarkEnd w:id="28"/>
      <w:bookmarkStart w:id="29" w:name="_Toc11424"/>
      <w:bookmarkStart w:id="30" w:name="_Toc27240"/>
      <w:bookmarkStart w:id="31" w:name="_Toc13642"/>
      <w:bookmarkStart w:id="32" w:name="_Toc28161"/>
      <w:bookmarkStart w:id="33" w:name="_Toc12311"/>
      <w:bookmarkStart w:id="34" w:name="_Toc328557290"/>
      <w:r>
        <w:rPr>
          <w:rFonts w:hint="eastAsia"/>
          <w:shd w:val="clear" w:color="auto" w:fill="FFFFFF"/>
        </w:rPr>
        <w:t>1  理论基础</w:t>
      </w:r>
      <w:bookmarkEnd w:id="29"/>
    </w:p>
    <w:p w14:paraId="5CBA8017">
      <w:pPr>
        <w:pStyle w:val="3"/>
        <w:keepNext/>
        <w:keepLines/>
        <w:spacing w:before="312" w:after="156"/>
        <w:jc w:val="both"/>
        <w:rPr>
          <w:rFonts w:hint="default"/>
        </w:rPr>
      </w:pPr>
      <w:bookmarkStart w:id="35" w:name="_Toc14193"/>
      <w:r>
        <w:t>1.1  利益相关者理论</w:t>
      </w:r>
      <w:bookmarkEnd w:id="35"/>
    </w:p>
    <w:p w14:paraId="79D0D52F">
      <w:pPr>
        <w:ind w:firstLine="480"/>
        <w:rPr>
          <w:rFonts w:hint="eastAsia" w:ascii="宋体" w:hAnsi="宋体" w:cs="Segoe UI"/>
          <w:color w:val="0F1115"/>
          <w:shd w:val="clear" w:color="auto" w:fill="FFFFFF"/>
        </w:rPr>
      </w:pPr>
      <w:r>
        <w:rPr>
          <w:rFonts w:ascii="宋体" w:hAnsi="宋体" w:cs="Segoe UI"/>
          <w:color w:val="0F1115"/>
          <w:shd w:val="clear" w:color="auto" w:fill="FFFFFF"/>
        </w:rPr>
        <w:t>企业的发展途径并非仅</w:t>
      </w:r>
      <w:bookmarkStart w:id="36" w:name="OLE_LINK221"/>
      <w:r>
        <w:rPr>
          <w:rFonts w:ascii="宋体" w:hAnsi="宋体" w:cs="Segoe UI"/>
          <w:color w:val="0F1115"/>
          <w:shd w:val="clear" w:color="auto" w:fill="FFFFFF"/>
        </w:rPr>
        <w:t>以股东价值最大化作为唯一的目的，还受多方面利益相关者的需要所左</w:t>
      </w:r>
      <w:bookmarkStart w:id="37" w:name="OLE_LINK225"/>
      <w:r>
        <w:rPr>
          <w:rFonts w:ascii="宋体" w:hAnsi="宋体" w:cs="Segoe UI"/>
          <w:color w:val="0F1115"/>
          <w:shd w:val="clear" w:color="auto" w:fill="FFFFFF"/>
        </w:rPr>
        <w:t>右。</w:t>
      </w:r>
      <w:bookmarkEnd w:id="36"/>
      <w:r>
        <w:rPr>
          <w:rFonts w:ascii="宋体" w:hAnsi="宋体" w:cs="Segoe UI"/>
          <w:color w:val="0F1115"/>
          <w:shd w:val="clear" w:color="auto" w:fill="FFFFFF"/>
        </w:rPr>
        <w:t>政府机构、消费者、上下游供应链、员工队伍和社会公众都会对企业经营造成很大影响。企</w:t>
      </w:r>
      <w:bookmarkStart w:id="38" w:name="OLE_LINK222"/>
      <w:r>
        <w:rPr>
          <w:rFonts w:ascii="宋体" w:hAnsi="宋体" w:cs="Segoe UI"/>
          <w:color w:val="0F1115"/>
          <w:shd w:val="clear" w:color="auto" w:fill="FFFFFF"/>
        </w:rPr>
        <w:t>业在进行战略规划的时候，要对</w:t>
      </w:r>
      <w:bookmarkEnd w:id="37"/>
      <w:r>
        <w:rPr>
          <w:rFonts w:ascii="宋体" w:hAnsi="宋体" w:cs="Segoe UI"/>
          <w:color w:val="0F1115"/>
          <w:shd w:val="clear" w:color="auto" w:fill="FFFFFF"/>
        </w:rPr>
        <w:t>各个利益相</w:t>
      </w:r>
      <w:r>
        <w:rPr>
          <w:rFonts w:hint="eastAsia" w:ascii="宋体" w:hAnsi="宋体" w:cs="Segoe UI"/>
          <w:color w:val="0F1115"/>
          <w:shd w:val="clear" w:color="auto" w:fill="FFFFFF"/>
        </w:rPr>
        <w:t>关者</w:t>
      </w:r>
      <w:r>
        <w:rPr>
          <w:rFonts w:ascii="宋体" w:hAnsi="宋体" w:cs="Segoe UI"/>
          <w:color w:val="0F1115"/>
          <w:shd w:val="clear" w:color="auto" w:fill="FFFFFF"/>
        </w:rPr>
        <w:t>的利益需求加以综合考虑</w:t>
      </w:r>
      <w:bookmarkStart w:id="39" w:name="OLE_LINK226"/>
      <w:r>
        <w:rPr>
          <w:rFonts w:ascii="宋体" w:hAnsi="宋体" w:cs="Segoe UI"/>
          <w:color w:val="0F1115"/>
          <w:shd w:val="clear" w:color="auto" w:fill="FFFFFF"/>
        </w:rPr>
        <w:t>，依靠内部和外部的机制达成各方共赢的局面。</w:t>
      </w:r>
      <w:bookmarkEnd w:id="38"/>
      <w:bookmarkEnd w:id="39"/>
      <w:bookmarkStart w:id="40" w:name="OLE_LINK32"/>
    </w:p>
    <w:p w14:paraId="5B8F5C51">
      <w:pPr>
        <w:pStyle w:val="3"/>
        <w:keepNext/>
        <w:keepLines/>
        <w:spacing w:before="312" w:after="156"/>
        <w:jc w:val="both"/>
        <w:rPr>
          <w:rFonts w:hint="default"/>
        </w:rPr>
      </w:pPr>
      <w:bookmarkStart w:id="41" w:name="_Toc4799"/>
      <w:r>
        <w:t>1.2  可持续发展理论</w:t>
      </w:r>
      <w:bookmarkEnd w:id="41"/>
    </w:p>
    <w:bookmarkEnd w:id="40"/>
    <w:p w14:paraId="0C5AF605">
      <w:pPr>
        <w:ind w:firstLine="480"/>
        <w:rPr>
          <w:rFonts w:hint="eastAsia" w:ascii="宋体" w:hAnsi="宋体" w:cs="Segoe UI"/>
          <w:color w:val="0F1115"/>
          <w:shd w:val="clear" w:color="auto" w:fill="FFFFFF"/>
        </w:rPr>
      </w:pPr>
      <w:bookmarkStart w:id="42" w:name="OLE_LINK228"/>
      <w:r>
        <w:rPr>
          <w:rFonts w:ascii="Segoe UI" w:hAnsi="Segoe UI" w:cs="Segoe UI"/>
          <w:color w:val="0F1115"/>
          <w:shd w:val="clear" w:color="auto" w:fill="FFFFFF"/>
        </w:rPr>
        <w:t>可持续发展理论认为企业应该在追求经济利益的同时，把</w:t>
      </w:r>
      <w:bookmarkStart w:id="43" w:name="OLE_LINK224"/>
      <w:r>
        <w:rPr>
          <w:rFonts w:ascii="Segoe UI" w:hAnsi="Segoe UI" w:cs="Segoe UI"/>
          <w:color w:val="0F1115"/>
          <w:shd w:val="clear" w:color="auto" w:fill="FFFFFF"/>
        </w:rPr>
        <w:t>环境保护和社会责任纳入</w:t>
      </w:r>
      <w:bookmarkStart w:id="44" w:name="OLE_LINK227"/>
      <w:r>
        <w:rPr>
          <w:rFonts w:ascii="Segoe UI" w:hAnsi="Segoe UI" w:cs="Segoe UI"/>
          <w:color w:val="0F1115"/>
          <w:shd w:val="clear" w:color="auto" w:fill="FFFFFF"/>
        </w:rPr>
        <w:t>到企业的战略决策</w:t>
      </w:r>
      <w:bookmarkEnd w:id="43"/>
      <w:r>
        <w:rPr>
          <w:rFonts w:ascii="Segoe UI" w:hAnsi="Segoe UI" w:cs="Segoe UI"/>
          <w:color w:val="0F1115"/>
          <w:shd w:val="clear" w:color="auto" w:fill="FFFFFF"/>
        </w:rPr>
        <w:t>当中，</w:t>
      </w:r>
      <w:r>
        <w:rPr>
          <w:rFonts w:hint="eastAsia" w:ascii="Segoe UI" w:hAnsi="Segoe UI" w:cs="Segoe UI"/>
          <w:color w:val="0F1115"/>
          <w:shd w:val="clear" w:color="auto" w:fill="FFFFFF"/>
        </w:rPr>
        <w:t>实现</w:t>
      </w:r>
      <w:bookmarkStart w:id="45" w:name="OLE_LINK223"/>
      <w:r>
        <w:rPr>
          <w:rFonts w:ascii="Segoe UI" w:hAnsi="Segoe UI" w:cs="Segoe UI"/>
          <w:color w:val="0F1115"/>
          <w:shd w:val="clear" w:color="auto" w:fill="FFFFFF"/>
        </w:rPr>
        <w:t>经济、</w:t>
      </w:r>
      <w:r>
        <w:rPr>
          <w:rFonts w:hint="eastAsia" w:ascii="Segoe UI" w:hAnsi="Segoe UI" w:cs="Segoe UI"/>
          <w:color w:val="0F1115"/>
          <w:shd w:val="clear" w:color="auto" w:fill="FFFFFF"/>
        </w:rPr>
        <w:t>环境</w:t>
      </w:r>
      <w:r>
        <w:rPr>
          <w:rFonts w:ascii="Segoe UI" w:hAnsi="Segoe UI" w:cs="Segoe UI"/>
          <w:color w:val="0F1115"/>
          <w:shd w:val="clear" w:color="auto" w:fill="FFFFFF"/>
        </w:rPr>
        <w:t>、社会</w:t>
      </w:r>
      <w:bookmarkEnd w:id="45"/>
      <w:r>
        <w:rPr>
          <w:rFonts w:hint="eastAsia" w:ascii="Segoe UI" w:hAnsi="Segoe UI" w:cs="Segoe UI"/>
          <w:color w:val="0F1115"/>
          <w:shd w:val="clear" w:color="auto" w:fill="FFFFFF"/>
        </w:rPr>
        <w:t>的协调统一</w:t>
      </w:r>
      <w:r>
        <w:rPr>
          <w:rFonts w:ascii="Segoe UI" w:hAnsi="Segoe UI" w:cs="Segoe UI"/>
          <w:color w:val="0F1115"/>
          <w:shd w:val="clear" w:color="auto" w:fill="FFFFFF"/>
        </w:rPr>
        <w:t>。</w:t>
      </w:r>
      <w:r>
        <w:rPr>
          <w:rFonts w:hint="eastAsia" w:ascii="Segoe UI" w:hAnsi="Segoe UI" w:cs="Segoe UI"/>
          <w:color w:val="0F1115"/>
          <w:shd w:val="clear" w:color="auto" w:fill="FFFFFF"/>
        </w:rPr>
        <w:t>绿色转型是落实可持</w:t>
      </w:r>
      <w:bookmarkStart w:id="46" w:name="OLE_LINK229"/>
      <w:r>
        <w:rPr>
          <w:rFonts w:hint="eastAsia" w:ascii="Segoe UI" w:hAnsi="Segoe UI" w:cs="Segoe UI"/>
          <w:color w:val="0F1115"/>
          <w:shd w:val="clear" w:color="auto" w:fill="FFFFFF"/>
        </w:rPr>
        <w:t>续发展理念的方式，</w:t>
      </w:r>
      <w:bookmarkStart w:id="47" w:name="OLE_LINK197"/>
      <w:r>
        <w:rPr>
          <w:rFonts w:hint="eastAsia" w:ascii="宋体" w:hAnsi="宋体" w:cs="Segoe UI"/>
          <w:color w:val="0F1115"/>
          <w:shd w:val="clear" w:color="auto" w:fill="FFFFFF"/>
        </w:rPr>
        <w:t>通过调整业务结构、优化资源配置，有助于增强企业长期竞争力。</w:t>
      </w:r>
      <w:bookmarkEnd w:id="42"/>
    </w:p>
    <w:bookmarkEnd w:id="44"/>
    <w:bookmarkEnd w:id="46"/>
    <w:bookmarkEnd w:id="47"/>
    <w:p w14:paraId="07C9A0A7">
      <w:pPr>
        <w:pStyle w:val="2"/>
        <w:spacing w:before="312" w:after="312"/>
        <w:rPr>
          <w:shd w:val="clear" w:color="auto" w:fill="FFFFFF"/>
        </w:rPr>
      </w:pPr>
      <w:bookmarkStart w:id="48" w:name="_Toc12221"/>
      <w:r>
        <w:rPr>
          <w:shd w:val="clear" w:color="auto" w:fill="FFFFFF"/>
        </w:rPr>
        <w:t>2</w:t>
      </w:r>
      <w:r>
        <w:rPr>
          <w:rFonts w:hint="eastAsia"/>
          <w:shd w:val="clear" w:color="auto" w:fill="FFFFFF"/>
        </w:rPr>
        <w:t xml:space="preserve">  川能动力绿色转型案例介绍</w:t>
      </w:r>
      <w:bookmarkEnd w:id="48"/>
    </w:p>
    <w:p w14:paraId="5D24E994">
      <w:pPr>
        <w:pStyle w:val="3"/>
        <w:keepNext/>
        <w:keepLines/>
        <w:spacing w:before="312" w:after="156"/>
        <w:jc w:val="both"/>
        <w:rPr>
          <w:rFonts w:hint="default"/>
        </w:rPr>
      </w:pPr>
      <w:bookmarkStart w:id="49" w:name="_Toc9597"/>
      <w:r>
        <w:t>2.1  公司简介</w:t>
      </w:r>
      <w:bookmarkEnd w:id="49"/>
    </w:p>
    <w:p w14:paraId="6C21B478">
      <w:pPr>
        <w:ind w:firstLine="480"/>
        <w:rPr>
          <w:rFonts w:hint="eastAsia" w:ascii="宋体" w:hAnsi="宋体" w:cs="Segoe UI"/>
          <w:color w:val="0F1115"/>
          <w:shd w:val="clear" w:color="auto" w:fill="FFFFFF"/>
        </w:rPr>
      </w:pPr>
      <w:bookmarkStart w:id="50" w:name="OLE_LINK19"/>
      <w:bookmarkEnd w:id="50"/>
      <w:bookmarkStart w:id="51" w:name="OLE_LINK20"/>
      <w:bookmarkEnd w:id="51"/>
      <w:bookmarkStart w:id="52" w:name="OLE_LINK16"/>
      <w:r>
        <w:rPr>
          <w:color w:val="0F1115"/>
          <w:shd w:val="clear" w:color="auto" w:fill="FFFFFF"/>
        </w:rPr>
        <w:t>四川省新能源动力股份有限公司（简称</w:t>
      </w:r>
      <w:r>
        <w:rPr>
          <w:rFonts w:asciiTheme="minorEastAsia" w:hAnsiTheme="minorEastAsia" w:eastAsiaTheme="minorEastAsia"/>
          <w:color w:val="0F1115"/>
          <w:shd w:val="clear" w:color="auto" w:fill="FFFFFF"/>
        </w:rPr>
        <w:t>“</w:t>
      </w:r>
      <w:r>
        <w:rPr>
          <w:color w:val="0F1115"/>
          <w:shd w:val="clear" w:color="auto" w:fill="FFFFFF"/>
        </w:rPr>
        <w:t>川能动力</w:t>
      </w:r>
      <w:r>
        <w:rPr>
          <w:rFonts w:asciiTheme="minorEastAsia" w:hAnsiTheme="minorEastAsia" w:eastAsiaTheme="minorEastAsia"/>
          <w:color w:val="0F1115"/>
          <w:shd w:val="clear" w:color="auto" w:fill="FFFFFF"/>
        </w:rPr>
        <w:t>”</w:t>
      </w:r>
      <w:r>
        <w:rPr>
          <w:color w:val="0F1115"/>
          <w:shd w:val="clear" w:color="auto" w:fill="FFFFFF"/>
        </w:rPr>
        <w:t>，股票代码为000155），于1997年9月26日成立，2000年9月26日，在深圳证券交易所上市。公司刚开始时只经营化学肥料、基础化工原料和有机化学品，积极开拓国内大宗商品贸易。在1997年到2008年期间，由于我国化工行业的发展和繁荣，使得</w:t>
      </w:r>
      <w:r>
        <w:rPr>
          <w:rFonts w:hint="eastAsia"/>
          <w:color w:val="0F1115"/>
          <w:shd w:val="clear" w:color="auto" w:fill="FFFFFF"/>
        </w:rPr>
        <w:t>川能动力</w:t>
      </w:r>
      <w:r>
        <w:rPr>
          <w:color w:val="0F1115"/>
          <w:shd w:val="clear" w:color="auto" w:fill="FFFFFF"/>
        </w:rPr>
        <w:t>能够实现稳定的主营业务收入。自2009年起至2016年，由于产业政策调整、市场需求低迷，使得</w:t>
      </w:r>
      <w:bookmarkStart w:id="53" w:name="OLE_LINK200"/>
      <w:r>
        <w:rPr>
          <w:color w:val="0F1115"/>
          <w:shd w:val="clear" w:color="auto" w:fill="FFFFFF"/>
        </w:rPr>
        <w:t>公司陷入产能过剩的局面，并且经营状况急剧下滑。特别是2013年到2015年，由于原材料价</w:t>
      </w:r>
      <w:bookmarkEnd w:id="53"/>
      <w:r>
        <w:rPr>
          <w:color w:val="0F1115"/>
          <w:shd w:val="clear" w:color="auto" w:fill="FFFFFF"/>
        </w:rPr>
        <w:t>格上涨、产品价格持续下跌、资产减值等诸多因素交织在一起，公司三年连续亏损。在这种情况下，2015年12月管理层做出战略决策，</w:t>
      </w:r>
      <w:r>
        <w:rPr>
          <w:rFonts w:hint="eastAsia"/>
          <w:color w:val="0F1115"/>
          <w:shd w:val="clear" w:color="auto" w:fill="FFFFFF"/>
        </w:rPr>
        <w:t>全</w:t>
      </w:r>
      <w:bookmarkStart w:id="54" w:name="OLE_LINK201"/>
      <w:r>
        <w:rPr>
          <w:rFonts w:hint="eastAsia"/>
          <w:color w:val="0F1115"/>
          <w:shd w:val="clear" w:color="auto" w:fill="FFFFFF"/>
        </w:rPr>
        <w:t>面停产化工和化肥主营</w:t>
      </w:r>
      <w:bookmarkEnd w:id="54"/>
      <w:r>
        <w:rPr>
          <w:rFonts w:hint="eastAsia"/>
          <w:color w:val="0F1115"/>
          <w:shd w:val="clear" w:color="auto" w:fill="FFFFFF"/>
        </w:rPr>
        <w:t>装置</w:t>
      </w:r>
      <w:r>
        <w:rPr>
          <w:color w:val="0F1115"/>
          <w:shd w:val="clear" w:color="auto" w:fill="FFFFFF"/>
        </w:rPr>
        <w:t>。</w:t>
      </w:r>
      <w:bookmarkEnd w:id="52"/>
      <w:bookmarkStart w:id="55" w:name="OLE_LINK21"/>
      <w:bookmarkEnd w:id="55"/>
      <w:bookmarkStart w:id="56" w:name="OLE_LINK54"/>
      <w:bookmarkEnd w:id="56"/>
      <w:r>
        <w:rPr>
          <w:rFonts w:hint="eastAsia"/>
          <w:color w:val="0F1115"/>
          <w:shd w:val="clear" w:color="auto" w:fill="FFFFFF"/>
        </w:rPr>
        <w:t>2017年川能动力正式启动绿色转型战略。</w:t>
      </w:r>
      <w:r>
        <w:rPr>
          <w:rFonts w:ascii="宋体" w:hAnsi="宋体" w:cs="Segoe UI"/>
          <w:color w:val="0F1115"/>
          <w:shd w:val="clear" w:color="auto" w:fill="FFFFFF"/>
        </w:rPr>
        <w:t>目前，公司已转型为以新能源发电和锂</w:t>
      </w:r>
      <w:r>
        <w:rPr>
          <w:rFonts w:hint="eastAsia" w:ascii="宋体" w:hAnsi="宋体" w:cs="Segoe UI"/>
          <w:color w:val="0F1115"/>
          <w:shd w:val="clear" w:color="auto" w:fill="FFFFFF"/>
        </w:rPr>
        <w:t>电业务</w:t>
      </w:r>
      <w:r>
        <w:rPr>
          <w:rFonts w:ascii="宋体" w:hAnsi="宋体" w:cs="Segoe UI"/>
          <w:color w:val="0F1115"/>
          <w:shd w:val="clear" w:color="auto" w:fill="FFFFFF"/>
        </w:rPr>
        <w:t>为核心主业的综合性新能源企业，主要从事风力发电、光伏发电</w:t>
      </w:r>
      <w:r>
        <w:rPr>
          <w:rFonts w:hint="eastAsia" w:ascii="宋体" w:hAnsi="宋体" w:cs="Segoe UI"/>
          <w:color w:val="0F1115"/>
          <w:shd w:val="clear" w:color="auto" w:fill="FFFFFF"/>
        </w:rPr>
        <w:t>、垃圾发电</w:t>
      </w:r>
      <w:r>
        <w:rPr>
          <w:rFonts w:ascii="宋体" w:hAnsi="宋体" w:cs="Segoe UI"/>
          <w:color w:val="0F1115"/>
          <w:shd w:val="clear" w:color="auto" w:fill="FFFFFF"/>
        </w:rPr>
        <w:t>等清洁能源项目的投资与运营，同时涉及锂矿采选和基础锂盐的加工制造。</w:t>
      </w:r>
    </w:p>
    <w:p w14:paraId="64155A66">
      <w:pPr>
        <w:pStyle w:val="3"/>
        <w:keepNext/>
        <w:keepLines/>
        <w:spacing w:before="312" w:after="156"/>
        <w:jc w:val="both"/>
        <w:rPr>
          <w:rFonts w:hint="default"/>
        </w:rPr>
      </w:pPr>
      <w:bookmarkStart w:id="57" w:name="_Toc4545"/>
      <w:r>
        <w:rPr>
          <w:color w:val="0F1115"/>
          <w:shd w:val="clear" w:color="auto" w:fill="FFFFFF"/>
        </w:rPr>
        <w:t>2.2</w:t>
      </w:r>
      <w:r>
        <w:rPr>
          <w:rFonts w:ascii="宋体" w:hAnsi="宋体" w:cs="Segoe UI"/>
          <w:color w:val="0F1115"/>
          <w:shd w:val="clear" w:color="auto" w:fill="FFFFFF"/>
        </w:rPr>
        <w:t xml:space="preserve">  </w:t>
      </w:r>
      <w:r>
        <w:t>绿色转型历程</w:t>
      </w:r>
      <w:bookmarkEnd w:id="57"/>
    </w:p>
    <w:p w14:paraId="2239F02B">
      <w:pPr>
        <w:ind w:firstLine="480"/>
        <w:rPr>
          <w:color w:val="0F1115"/>
          <w:shd w:val="clear" w:color="auto" w:fill="FFFFFF"/>
        </w:rPr>
      </w:pPr>
      <w:bookmarkStart w:id="58" w:name="OLE_LINK33"/>
      <w:r>
        <w:rPr>
          <w:color w:val="0F1115"/>
          <w:shd w:val="clear" w:color="auto" w:fill="FFFFFF"/>
        </w:rPr>
        <w:t>2017年川能动力开始绿色转型发展战略，由原来的高污染的化工产业向以新能源发电和锂电业务为主的综合型新能源企业转型。其发展历史可以分为三个主要时期。</w:t>
      </w:r>
    </w:p>
    <w:p w14:paraId="23BF77CA">
      <w:pPr>
        <w:ind w:firstLine="480"/>
        <w:rPr>
          <w:color w:val="0F1115"/>
          <w:shd w:val="clear" w:color="auto" w:fill="FFFFFF"/>
        </w:rPr>
      </w:pPr>
      <w:bookmarkStart w:id="59" w:name="OLE_LINK22"/>
      <w:bookmarkEnd w:id="59"/>
      <w:bookmarkStart w:id="60" w:name="OLE_LINK29"/>
      <w:bookmarkEnd w:id="60"/>
      <w:bookmarkStart w:id="61" w:name="OLE_LINK23"/>
      <w:r>
        <w:rPr>
          <w:color w:val="0F1115"/>
          <w:shd w:val="clear" w:color="auto" w:fill="FFFFFF"/>
        </w:rPr>
        <w:t>起步期</w:t>
      </w:r>
      <w:r>
        <w:rPr>
          <w:rFonts w:hint="eastAsia" w:ascii="宋体" w:hAnsi="宋体" w:cs="宋体"/>
          <w:color w:val="0F1115"/>
          <w:shd w:val="clear" w:color="auto" w:fill="FFFFFF"/>
        </w:rPr>
        <w:t>(</w:t>
      </w:r>
      <w:r>
        <w:rPr>
          <w:color w:val="0F1115"/>
          <w:shd w:val="clear" w:color="auto" w:fill="FFFFFF"/>
        </w:rPr>
        <w:t>2017</w:t>
      </w:r>
      <w:r>
        <w:rPr>
          <w:rFonts w:hint="eastAsia"/>
          <w:color w:val="0F1115"/>
          <w:shd w:val="clear" w:color="auto" w:fill="FFFFFF"/>
        </w:rPr>
        <w:t>-2018年</w:t>
      </w:r>
      <w:r>
        <w:rPr>
          <w:rFonts w:hint="eastAsia" w:ascii="宋体" w:hAnsi="宋体" w:cs="宋体"/>
          <w:color w:val="0F1115"/>
          <w:shd w:val="clear" w:color="auto" w:fill="FFFFFF"/>
        </w:rPr>
        <w:t>)</w:t>
      </w:r>
      <w:r>
        <w:rPr>
          <w:rFonts w:hint="eastAsia"/>
          <w:color w:val="0F1115"/>
          <w:shd w:val="clear" w:color="auto" w:fill="FFFFFF"/>
        </w:rPr>
        <w:t>，2017年</w:t>
      </w:r>
      <w:r>
        <w:rPr>
          <w:color w:val="0F1115"/>
          <w:shd w:val="clear" w:color="auto" w:fill="FFFFFF"/>
        </w:rPr>
        <w:t>川能动力</w:t>
      </w:r>
      <w:r>
        <w:rPr>
          <w:rFonts w:hint="eastAsia"/>
          <w:color w:val="0F1115"/>
          <w:shd w:val="clear" w:color="auto" w:fill="FFFFFF"/>
        </w:rPr>
        <w:t>用</w:t>
      </w:r>
      <w:r>
        <w:rPr>
          <w:color w:val="0F1115"/>
          <w:shd w:val="clear" w:color="auto" w:fill="FFFFFF"/>
        </w:rPr>
        <w:t>7.92亿元人民币</w:t>
      </w:r>
      <w:r>
        <w:rPr>
          <w:rFonts w:hint="eastAsia"/>
          <w:color w:val="0F1115"/>
          <w:shd w:val="clear" w:color="auto" w:fill="FFFFFF"/>
        </w:rPr>
        <w:t>收购能投风电</w:t>
      </w:r>
      <w:r>
        <w:rPr>
          <w:color w:val="0F1115"/>
          <w:shd w:val="clear" w:color="auto" w:fill="FFFFFF"/>
        </w:rPr>
        <w:t>55%的股份，从而踏入风力发电与光伏发电这两大领域当中去。</w:t>
      </w:r>
      <w:r>
        <w:rPr>
          <w:rFonts w:hint="eastAsia"/>
          <w:color w:val="0F1115"/>
          <w:shd w:val="clear" w:color="auto" w:fill="FFFFFF"/>
        </w:rPr>
        <w:t>2018年</w:t>
      </w:r>
      <w:r>
        <w:rPr>
          <w:color w:val="0F1115"/>
          <w:shd w:val="clear" w:color="auto" w:fill="FFFFFF"/>
        </w:rPr>
        <w:t>11月公司再次向</w:t>
      </w:r>
      <w:r>
        <w:rPr>
          <w:rFonts w:hint="eastAsia"/>
          <w:color w:val="0F1115"/>
          <w:shd w:val="clear" w:color="auto" w:fill="FFFFFF"/>
        </w:rPr>
        <w:t>能投</w:t>
      </w:r>
      <w:bookmarkStart w:id="62" w:name="OLE_LINK230"/>
      <w:r>
        <w:rPr>
          <w:rFonts w:hint="eastAsia"/>
          <w:color w:val="0F1115"/>
          <w:shd w:val="clear" w:color="auto" w:fill="FFFFFF"/>
        </w:rPr>
        <w:t>风电</w:t>
      </w:r>
      <w:bookmarkEnd w:id="62"/>
      <w:r>
        <w:rPr>
          <w:color w:val="0F1115"/>
          <w:shd w:val="clear" w:color="auto" w:fill="FFFFFF"/>
        </w:rPr>
        <w:t>注资2.3亿元，把持有</w:t>
      </w:r>
      <w:bookmarkStart w:id="63" w:name="OLE_LINK231"/>
      <w:r>
        <w:rPr>
          <w:color w:val="0F1115"/>
          <w:shd w:val="clear" w:color="auto" w:fill="FFFFFF"/>
        </w:rPr>
        <w:t>的股份比例</w:t>
      </w:r>
      <w:bookmarkEnd w:id="63"/>
      <w:r>
        <w:rPr>
          <w:color w:val="0F1115"/>
          <w:shd w:val="clear" w:color="auto" w:fill="FFFFFF"/>
        </w:rPr>
        <w:t>提高到70%，加强了公司在新能源产业领域的布局。在此期间川能动力又设立了</w:t>
      </w:r>
      <w:r>
        <w:rPr>
          <w:rFonts w:hint="eastAsia"/>
          <w:color w:val="0F1115"/>
          <w:shd w:val="clear" w:color="auto" w:fill="FFFFFF"/>
        </w:rPr>
        <w:t>川能锂能股权</w:t>
      </w:r>
      <w:r>
        <w:rPr>
          <w:color w:val="0F1115"/>
          <w:shd w:val="clear" w:color="auto" w:fill="FFFFFF"/>
        </w:rPr>
        <w:t>投资基金，为发展</w:t>
      </w:r>
      <w:r>
        <w:rPr>
          <w:rFonts w:hint="eastAsia"/>
          <w:color w:val="0F1115"/>
          <w:shd w:val="clear" w:color="auto" w:fill="FFFFFF"/>
        </w:rPr>
        <w:t>锂电产业链</w:t>
      </w:r>
      <w:r>
        <w:rPr>
          <w:color w:val="0F1115"/>
          <w:shd w:val="clear" w:color="auto" w:fill="FFFFFF"/>
        </w:rPr>
        <w:t>上游提供支持。</w:t>
      </w:r>
      <w:bookmarkEnd w:id="61"/>
      <w:bookmarkStart w:id="64" w:name="OLE_LINK171"/>
      <w:bookmarkEnd w:id="64"/>
    </w:p>
    <w:p w14:paraId="036355E1">
      <w:pPr>
        <w:ind w:firstLine="480"/>
        <w:rPr>
          <w:color w:val="0F1115"/>
          <w:shd w:val="clear" w:color="auto" w:fill="FFFFFF"/>
        </w:rPr>
      </w:pPr>
      <w:bookmarkStart w:id="65" w:name="OLE_LINK130"/>
      <w:bookmarkEnd w:id="65"/>
      <w:bookmarkStart w:id="66" w:name="OLE_LINK177"/>
      <w:bookmarkEnd w:id="66"/>
      <w:bookmarkStart w:id="67" w:name="OLE_LINK24"/>
      <w:bookmarkEnd w:id="67"/>
      <w:bookmarkStart w:id="68" w:name="OLE_LINK30"/>
      <w:bookmarkEnd w:id="68"/>
      <w:bookmarkStart w:id="69" w:name="OLE_LINK121"/>
      <w:r>
        <w:rPr>
          <w:rFonts w:hint="eastAsia"/>
          <w:color w:val="0F1115"/>
          <w:shd w:val="clear" w:color="auto" w:fill="FFFFFF"/>
        </w:rPr>
        <w:t>拓展期</w:t>
      </w:r>
      <w:r>
        <w:rPr>
          <w:color w:val="0F1115"/>
          <w:shd w:val="clear" w:color="auto" w:fill="FFFFFF"/>
        </w:rPr>
        <w:t>（2019-2021年），2019年至2020年期间川能动力不断地增大对于风力、光伏电站的投资力度，并且使装机容量得以稳步增长。到2021年年末为止，在收购</w:t>
      </w:r>
      <w:r>
        <w:rPr>
          <w:rFonts w:hint="eastAsia"/>
          <w:color w:val="0F1115"/>
          <w:shd w:val="clear" w:color="auto" w:fill="FFFFFF"/>
        </w:rPr>
        <w:t>川能环保</w:t>
      </w:r>
      <w:r>
        <w:rPr>
          <w:color w:val="0F1115"/>
          <w:shd w:val="clear" w:color="auto" w:fill="FFFFFF"/>
        </w:rPr>
        <w:t>51%的股权之后，公司又新增加了垃圾焚烧发电以及环卫服务等业务板块。整合</w:t>
      </w:r>
      <w:r>
        <w:rPr>
          <w:rFonts w:hint="eastAsia"/>
          <w:color w:val="0F1115"/>
          <w:shd w:val="clear" w:color="auto" w:fill="FFFFFF"/>
        </w:rPr>
        <w:t>能投锂业</w:t>
      </w:r>
      <w:r>
        <w:rPr>
          <w:color w:val="0F1115"/>
          <w:shd w:val="clear" w:color="auto" w:fill="FFFFFF"/>
        </w:rPr>
        <w:t>62.75%股权、</w:t>
      </w:r>
      <w:r>
        <w:rPr>
          <w:rFonts w:hint="eastAsia"/>
          <w:color w:val="0F1115"/>
          <w:shd w:val="clear" w:color="auto" w:fill="FFFFFF"/>
        </w:rPr>
        <w:t>鼎盛锂业</w:t>
      </w:r>
      <w:r>
        <w:rPr>
          <w:color w:val="0F1115"/>
          <w:shd w:val="clear" w:color="auto" w:fill="FFFFFF"/>
        </w:rPr>
        <w:t>51%股份之后，川能动力获取了李家沟锂矿</w:t>
      </w:r>
      <w:r>
        <w:rPr>
          <w:rFonts w:hint="eastAsia"/>
          <w:color w:val="0F1115"/>
          <w:shd w:val="clear" w:color="auto" w:fill="FFFFFF"/>
        </w:rPr>
        <w:t>开采</w:t>
      </w:r>
      <w:r>
        <w:rPr>
          <w:color w:val="0F1115"/>
          <w:shd w:val="clear" w:color="auto" w:fill="FFFFFF"/>
        </w:rPr>
        <w:t>权并涉足锂盐制品产业链。公司在巩固新能源发电业务的基础上逐步形成了涵盖新能源发电和锂电材料生产的综合性产业布局。</w:t>
      </w:r>
      <w:bookmarkEnd w:id="69"/>
      <w:bookmarkStart w:id="70" w:name="OLE_LINK123"/>
    </w:p>
    <w:bookmarkEnd w:id="70"/>
    <w:p w14:paraId="14E255E2">
      <w:pPr>
        <w:ind w:firstLine="480"/>
        <w:rPr>
          <w:rFonts w:hint="eastAsia" w:ascii="宋体" w:hAnsi="宋体" w:cs="Segoe UI"/>
          <w:color w:val="0F1115"/>
          <w:shd w:val="clear" w:color="auto" w:fill="FFFFFF"/>
        </w:rPr>
      </w:pPr>
      <w:bookmarkStart w:id="71" w:name="OLE_LINK174"/>
      <w:bookmarkEnd w:id="71"/>
      <w:bookmarkStart w:id="72" w:name="OLE_LINK25"/>
      <w:bookmarkEnd w:id="72"/>
      <w:bookmarkStart w:id="73" w:name="OLE_LINK26"/>
      <w:bookmarkEnd w:id="73"/>
      <w:bookmarkStart w:id="74" w:name="OLE_LINK31"/>
      <w:bookmarkEnd w:id="74"/>
      <w:bookmarkStart w:id="75" w:name="OLE_LINK175"/>
      <w:bookmarkEnd w:id="75"/>
      <w:bookmarkStart w:id="76" w:name="OLE_LINK28"/>
      <w:bookmarkEnd w:id="76"/>
      <w:r>
        <w:rPr>
          <w:color w:val="0F1115"/>
          <w:shd w:val="clear" w:color="auto" w:fill="FFFFFF"/>
        </w:rPr>
        <w:t>深</w:t>
      </w:r>
      <w:r>
        <w:rPr>
          <w:rFonts w:hint="eastAsia"/>
          <w:color w:val="0F1115"/>
          <w:shd w:val="clear" w:color="auto" w:fill="FFFFFF"/>
        </w:rPr>
        <w:t>化期</w:t>
      </w:r>
      <w:r>
        <w:rPr>
          <w:color w:val="0F1115"/>
          <w:shd w:val="clear" w:color="auto" w:fill="FFFFFF"/>
        </w:rPr>
        <w:t>（2022年</w:t>
      </w:r>
      <w:r>
        <w:rPr>
          <w:rFonts w:hint="eastAsia" w:ascii="宋体" w:hAnsi="宋体" w:cs="宋体"/>
          <w:color w:val="0F1115"/>
          <w:shd w:val="clear" w:color="auto" w:fill="FFFFFF"/>
        </w:rPr>
        <w:t>-</w:t>
      </w:r>
      <w:r>
        <w:rPr>
          <w:rFonts w:hint="eastAsia"/>
          <w:color w:val="0F1115"/>
          <w:shd w:val="clear" w:color="auto" w:fill="FFFFFF"/>
        </w:rPr>
        <w:t>至今</w:t>
      </w:r>
      <w:r>
        <w:rPr>
          <w:color w:val="0F1115"/>
          <w:shd w:val="clear" w:color="auto" w:fill="FFFFFF"/>
        </w:rPr>
        <w:t>）</w:t>
      </w:r>
      <w:r>
        <w:rPr>
          <w:rFonts w:hint="eastAsia"/>
          <w:color w:val="0F1115"/>
          <w:shd w:val="clear" w:color="auto" w:fill="FFFFFF"/>
        </w:rPr>
        <w:t>，2022年</w:t>
      </w:r>
      <w:r>
        <w:rPr>
          <w:color w:val="0F1115"/>
          <w:shd w:val="clear" w:color="auto" w:fill="FFFFFF"/>
        </w:rPr>
        <w:t>川能动力在李家沟锂矿</w:t>
      </w:r>
      <w:bookmarkStart w:id="77" w:name="OLE_LINK232"/>
      <w:r>
        <w:rPr>
          <w:color w:val="0F1115"/>
          <w:shd w:val="clear" w:color="auto" w:fill="FFFFFF"/>
        </w:rPr>
        <w:t>项目上投资</w:t>
      </w:r>
      <w:bookmarkEnd w:id="77"/>
      <w:r>
        <w:rPr>
          <w:color w:val="0F1115"/>
          <w:shd w:val="clear" w:color="auto" w:fill="FFFFFF"/>
        </w:rPr>
        <w:t>总额为4.03亿元人民币，项目建设也正在有条不紊地进行当中。截至2025年8月，</w:t>
      </w:r>
      <w:r>
        <w:rPr>
          <w:rFonts w:hint="eastAsia"/>
          <w:color w:val="0F1115"/>
          <w:shd w:val="clear" w:color="auto" w:fill="FFFFFF"/>
        </w:rPr>
        <w:t>李家沟锂矿</w:t>
      </w:r>
      <w:r>
        <w:rPr>
          <w:color w:val="0F1115"/>
          <w:shd w:val="clear" w:color="auto" w:fill="FFFFFF"/>
        </w:rPr>
        <w:t>采选工程已经基</w:t>
      </w:r>
      <w:bookmarkStart w:id="78" w:name="OLE_LINK233"/>
      <w:r>
        <w:rPr>
          <w:color w:val="0F1115"/>
          <w:shd w:val="clear" w:color="auto" w:fill="FFFFFF"/>
        </w:rPr>
        <w:t>本上达到了设计的产能指标</w:t>
      </w:r>
      <w:bookmarkEnd w:id="78"/>
      <w:r>
        <w:rPr>
          <w:color w:val="0F1115"/>
          <w:shd w:val="clear" w:color="auto" w:fill="FFFFFF"/>
        </w:rPr>
        <w:t>，同年德阿锂业3万吨/年锂盐生产线投产并运行正常。到2025年底，公司风、光发电总装机容量</w:t>
      </w:r>
      <w:r>
        <w:rPr>
          <w:rFonts w:hint="eastAsia"/>
          <w:color w:val="0F1115"/>
          <w:shd w:val="clear" w:color="auto" w:fill="FFFFFF"/>
        </w:rPr>
        <w:t>约</w:t>
      </w:r>
      <w:r>
        <w:rPr>
          <w:color w:val="0F1115"/>
          <w:shd w:val="clear" w:color="auto" w:fill="FFFFFF"/>
        </w:rPr>
        <w:t>138.98万千瓦。经过系统的资产整合、业务结构的重组，川能动力</w:t>
      </w:r>
      <w:r>
        <w:rPr>
          <w:rFonts w:hint="eastAsia"/>
          <w:color w:val="0F1115"/>
          <w:shd w:val="clear" w:color="auto" w:fill="FFFFFF"/>
        </w:rPr>
        <w:t>已全面转型</w:t>
      </w:r>
      <w:r>
        <w:rPr>
          <w:color w:val="0F1115"/>
          <w:shd w:val="clear" w:color="auto" w:fill="FFFFFF"/>
        </w:rPr>
        <w:t>为</w:t>
      </w:r>
      <w:r>
        <w:rPr>
          <w:rFonts w:hint="eastAsia"/>
          <w:color w:val="0F1115"/>
          <w:shd w:val="clear" w:color="auto" w:fill="FFFFFF"/>
        </w:rPr>
        <w:t>以</w:t>
      </w:r>
      <w:r>
        <w:rPr>
          <w:color w:val="0F1115"/>
          <w:shd w:val="clear" w:color="auto" w:fill="FFFFFF"/>
        </w:rPr>
        <w:t>新能源</w:t>
      </w:r>
      <w:r>
        <w:rPr>
          <w:rFonts w:hint="eastAsia"/>
          <w:color w:val="0F1115"/>
          <w:shd w:val="clear" w:color="auto" w:fill="FFFFFF"/>
        </w:rPr>
        <w:t>发电和锂电业务为主营业务</w:t>
      </w:r>
      <w:r>
        <w:rPr>
          <w:color w:val="0F1115"/>
          <w:shd w:val="clear" w:color="auto" w:fill="FFFFFF"/>
        </w:rPr>
        <w:t>的综合能源型企业。</w:t>
      </w:r>
      <w:r>
        <w:rPr>
          <w:rFonts w:hint="eastAsia"/>
          <w:color w:val="0F1115"/>
          <w:shd w:val="clear" w:color="auto" w:fill="FFFFFF"/>
        </w:rPr>
        <w:t>川能动力的绿色转型历程如</w:t>
      </w:r>
      <w:r>
        <w:rPr>
          <w:rFonts w:hint="eastAsia"/>
          <w:color w:val="0F1115"/>
          <w:shd w:val="clear" w:color="auto" w:fill="FFFFFF"/>
        </w:rPr>
        <w:fldChar w:fldCharType="begin"/>
      </w:r>
      <w:r>
        <w:rPr>
          <w:rFonts w:hint="eastAsia"/>
          <w:color w:val="0F1115"/>
          <w:shd w:val="clear" w:color="auto" w:fill="FFFFFF"/>
        </w:rPr>
        <w:instrText xml:space="preserve"> REF _Ref13009 \h </w:instrText>
      </w:r>
      <w:r>
        <w:rPr>
          <w:rFonts w:hint="eastAsia"/>
          <w:color w:val="0F1115"/>
          <w:shd w:val="clear" w:color="auto" w:fill="FFFFFF"/>
        </w:rPr>
        <w:fldChar w:fldCharType="separate"/>
      </w:r>
      <w:r>
        <w:t>图2.1</w:t>
      </w:r>
      <w:r>
        <w:rPr>
          <w:rFonts w:hint="eastAsia"/>
          <w:color w:val="0F1115"/>
          <w:shd w:val="clear" w:color="auto" w:fill="FFFFFF"/>
        </w:rPr>
        <w:fldChar w:fldCharType="end"/>
      </w:r>
      <w:r>
        <w:rPr>
          <w:rFonts w:hint="eastAsia"/>
          <w:color w:val="0F1115"/>
          <w:shd w:val="clear" w:color="auto" w:fill="FFFFFF"/>
        </w:rPr>
        <w:t>所示，</w:t>
      </w:r>
      <w:r>
        <w:rPr>
          <w:rFonts w:ascii="宋体" w:hAnsi="宋体" w:cs="Segoe UI"/>
          <w:color w:val="0F1115"/>
          <w:shd w:val="clear" w:color="auto" w:fill="FFFFFF"/>
        </w:rPr>
        <w:fldChar w:fldCharType="begin"/>
      </w:r>
      <w:r>
        <w:instrText xml:space="preserve"> REF _Ref229266154 \h  \* MERGEFORMAT</w:instrText>
      </w:r>
      <w:r>
        <w:rPr>
          <w:rFonts w:hint="eastAsia" w:ascii="宋体" w:hAnsi="宋体" w:cs="Segoe UI"/>
          <w:color w:val="0F1115"/>
          <w:shd w:val="clear" w:color="auto" w:fill="FFFFFF"/>
        </w:rPr>
        <w:fldChar w:fldCharType="separate"/>
      </w:r>
      <w:r>
        <w:rPr>
          <w:rFonts w:ascii="宋体" w:hAnsi="宋体" w:cs="Segoe UI"/>
          <w:color w:val="0F1115"/>
          <w:shd w:val="clear" w:color="auto" w:fill="FFFFFF"/>
        </w:rPr>
        <w:fldChar w:fldCharType="end"/>
      </w:r>
    </w:p>
    <w:p w14:paraId="4A057AF8">
      <w:pPr>
        <w:keepNext/>
        <w:ind w:firstLine="0" w:firstLineChars="0"/>
      </w:pPr>
      <w:r>
        <w:drawing>
          <wp:inline distT="0" distB="0" distL="0" distR="0">
            <wp:extent cx="4922520" cy="1645920"/>
            <wp:effectExtent l="0" t="0" r="0" b="0"/>
            <wp:docPr id="62603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38380" name="图片 1"/>
                    <pic:cNvPicPr>
                      <a:picLocks noChangeAspect="1"/>
                    </pic:cNvPicPr>
                  </pic:nvPicPr>
                  <pic:blipFill>
                    <a:blip r:embed="rId14"/>
                    <a:stretch>
                      <a:fillRect/>
                    </a:stretch>
                  </pic:blipFill>
                  <pic:spPr>
                    <a:xfrm>
                      <a:off x="0" y="0"/>
                      <a:ext cx="4922947" cy="1646063"/>
                    </a:xfrm>
                    <a:prstGeom prst="rect">
                      <a:avLst/>
                    </a:prstGeom>
                  </pic:spPr>
                </pic:pic>
              </a:graphicData>
            </a:graphic>
          </wp:inline>
        </w:drawing>
      </w:r>
    </w:p>
    <w:p w14:paraId="4F4B5AF4">
      <w:pPr>
        <w:pStyle w:val="6"/>
        <w:keepNext/>
        <w:spacing w:before="156" w:after="156"/>
        <w:ind w:firstLine="0" w:firstLineChars="0"/>
      </w:pPr>
      <w:bookmarkStart w:id="79" w:name="_Ref13009"/>
      <w:r>
        <w:t>图2.</w:t>
      </w:r>
      <w:r>
        <w:fldChar w:fldCharType="begin"/>
      </w:r>
      <w:r>
        <w:instrText xml:space="preserve"> SEQ 图2. \* ARABIC </w:instrText>
      </w:r>
      <w:r>
        <w:fldChar w:fldCharType="separate"/>
      </w:r>
      <w:r>
        <w:t>1</w:t>
      </w:r>
      <w:r>
        <w:fldChar w:fldCharType="end"/>
      </w:r>
      <w:bookmarkEnd w:id="79"/>
      <w:r>
        <w:rPr>
          <w:rFonts w:hint="eastAsia"/>
        </w:rPr>
        <w:t xml:space="preserve">  川能动力绿色转型历程</w:t>
      </w:r>
    </w:p>
    <w:bookmarkEnd w:id="58"/>
    <w:p w14:paraId="18ED1AD5">
      <w:pPr>
        <w:pStyle w:val="3"/>
        <w:keepNext/>
        <w:keepLines/>
        <w:spacing w:before="312" w:after="156"/>
        <w:jc w:val="both"/>
        <w:rPr>
          <w:rFonts w:hint="default"/>
        </w:rPr>
      </w:pPr>
      <w:bookmarkStart w:id="80" w:name="_Toc2392"/>
      <w:r>
        <w:t xml:space="preserve">2.3  </w:t>
      </w:r>
      <w:bookmarkStart w:id="81" w:name="OLE_LINK148"/>
      <w:r>
        <w:t>绿色转型动因</w:t>
      </w:r>
      <w:bookmarkEnd w:id="80"/>
      <w:bookmarkEnd w:id="81"/>
    </w:p>
    <w:p w14:paraId="5B2B2F33">
      <w:pPr>
        <w:ind w:firstLine="480"/>
      </w:pPr>
      <w:r>
        <w:rPr>
          <w:rFonts w:hint="eastAsia" w:ascii="Segoe UI" w:hAnsi="Segoe UI" w:cs="Segoe UI"/>
          <w:color w:val="0F1115"/>
          <w:shd w:val="clear" w:color="auto" w:fill="FFFFFF"/>
        </w:rPr>
        <w:t>川能动力绿色转型过程中受政策、市场需求和经济效益等因素的影响。</w:t>
      </w:r>
    </w:p>
    <w:bookmarkEnd w:id="30"/>
    <w:bookmarkEnd w:id="31"/>
    <w:bookmarkEnd w:id="32"/>
    <w:bookmarkEnd w:id="33"/>
    <w:bookmarkEnd w:id="34"/>
    <w:p w14:paraId="22BE9EDB">
      <w:pPr>
        <w:pStyle w:val="4"/>
        <w:spacing w:before="156" w:after="156"/>
      </w:pPr>
      <w:bookmarkStart w:id="82" w:name="_Toc16027"/>
      <w:bookmarkStart w:id="83" w:name="OLE_LINK147"/>
      <w:bookmarkStart w:id="84" w:name="_Toc29568"/>
      <w:bookmarkStart w:id="85" w:name="_Toc200288907"/>
      <w:bookmarkStart w:id="86" w:name="_Toc7950"/>
      <w:bookmarkStart w:id="87" w:name="_Toc21269"/>
      <w:bookmarkStart w:id="88" w:name="_Toc200289727"/>
      <w:bookmarkStart w:id="89" w:name="_Toc328557293"/>
      <w:bookmarkStart w:id="90" w:name="_Toc15134"/>
      <w:r>
        <w:t>2.3.1  政策驱动</w:t>
      </w:r>
      <w:bookmarkEnd w:id="82"/>
    </w:p>
    <w:bookmarkEnd w:id="83"/>
    <w:p w14:paraId="05E0FD8C">
      <w:pPr>
        <w:ind w:firstLine="480"/>
      </w:pPr>
      <w:r>
        <w:t>国家有关部门陆续出台了诸多政策文件，给川能动力推动绿色转型战略提供强有力的保障。2016年出台的《可再生能源发展</w:t>
      </w:r>
      <w:r>
        <w:rPr>
          <w:rFonts w:ascii="宋体" w:hAnsi="宋体"/>
        </w:rPr>
        <w:t>“</w:t>
      </w:r>
      <w:r>
        <w:t>十三五</w:t>
      </w:r>
      <w:r>
        <w:rPr>
          <w:rFonts w:ascii="宋体" w:hAnsi="宋体"/>
        </w:rPr>
        <w:t>”</w:t>
      </w:r>
      <w:r>
        <w:t>规划》明确提出对于风电、光伏等产业的支持方向，这一政策框架也成了</w:t>
      </w:r>
      <w:r>
        <w:rPr>
          <w:rFonts w:hint="eastAsia"/>
        </w:rPr>
        <w:t>川能动力</w:t>
      </w:r>
      <w:r>
        <w:t>次年收购风电资产的重要依据。</w:t>
      </w:r>
      <w:r>
        <w:rPr>
          <w:rFonts w:hint="eastAsia"/>
        </w:rPr>
        <w:t>2017年</w:t>
      </w:r>
      <w:r>
        <w:t>颁布的</w:t>
      </w:r>
      <w:r>
        <w:rPr>
          <w:rFonts w:hint="eastAsia"/>
        </w:rPr>
        <w:t>《</w:t>
      </w:r>
      <w:r>
        <w:t>促进汽车动力电池产业发展行动方案</w:t>
      </w:r>
      <w:r>
        <w:rPr>
          <w:rFonts w:hint="eastAsia"/>
        </w:rPr>
        <w:t>》</w:t>
      </w:r>
      <w:r>
        <w:t>，主要从推动</w:t>
      </w:r>
      <w:r>
        <w:rPr>
          <w:rFonts w:hint="eastAsia"/>
        </w:rPr>
        <w:t>锂电</w:t>
      </w:r>
      <w:r>
        <w:t>产业链发展入手，使公</w:t>
      </w:r>
      <w:bookmarkStart w:id="91" w:name="OLE_LINK199"/>
      <w:r>
        <w:t>司在锂矿、锂盐领域进</w:t>
      </w:r>
      <w:bookmarkEnd w:id="91"/>
      <w:r>
        <w:t>一步展开。进入新发展阶段以后，</w:t>
      </w:r>
      <w:r>
        <w:rPr>
          <w:rFonts w:hint="eastAsia"/>
        </w:rPr>
        <w:t>2021年</w:t>
      </w:r>
      <w:r>
        <w:t>《2030年前碳达峰行动方案》和</w:t>
      </w:r>
      <w:r>
        <w:rPr>
          <w:rFonts w:hint="eastAsia"/>
        </w:rPr>
        <w:t>2022年《</w:t>
      </w:r>
      <w:bookmarkStart w:id="92" w:name="OLE_LINK234"/>
      <w:r>
        <w:rPr>
          <w:rFonts w:asciiTheme="minorEastAsia" w:hAnsiTheme="minorEastAsia" w:eastAsiaTheme="minorEastAsia"/>
        </w:rPr>
        <w:t>“</w:t>
      </w:r>
      <w:bookmarkEnd w:id="92"/>
      <w:r>
        <w:t>十四五</w:t>
      </w:r>
      <w:r>
        <w:rPr>
          <w:rFonts w:asciiTheme="minorEastAsia" w:hAnsiTheme="minorEastAsia" w:eastAsiaTheme="minorEastAsia"/>
        </w:rPr>
        <w:t>”</w:t>
      </w:r>
      <w:r>
        <w:t>现代能源体系规划</w:t>
      </w:r>
      <w:r>
        <w:rPr>
          <w:rFonts w:hint="eastAsia"/>
        </w:rPr>
        <w:t>》</w:t>
      </w:r>
      <w:r>
        <w:t>等一系列核心文件相继出台，</w:t>
      </w:r>
      <w:bookmarkStart w:id="93" w:name="OLE_LINK187"/>
      <w:bookmarkEnd w:id="93"/>
      <w:bookmarkStart w:id="94" w:name="OLE_LINK178"/>
      <w:bookmarkEnd w:id="94"/>
      <w:bookmarkStart w:id="95" w:name="OLE_LINK70"/>
      <w:bookmarkEnd w:id="95"/>
      <w:bookmarkStart w:id="96" w:name="OLE_LINK38"/>
      <w:bookmarkEnd w:id="96"/>
      <w:r>
        <w:rPr>
          <w:rFonts w:hint="eastAsia"/>
        </w:rPr>
        <w:t>进一步明确了新能源广阔的发展前景。</w:t>
      </w:r>
    </w:p>
    <w:p w14:paraId="236B8A00">
      <w:pPr>
        <w:pStyle w:val="4"/>
        <w:spacing w:before="156" w:after="156"/>
      </w:pPr>
      <w:bookmarkStart w:id="97" w:name="_Toc5930"/>
      <w:r>
        <w:rPr>
          <w:rFonts w:hint="eastAsia"/>
        </w:rPr>
        <w:t>2</w:t>
      </w:r>
      <w:bookmarkStart w:id="98" w:name="OLE_LINK80"/>
      <w:r>
        <w:rPr>
          <w:rFonts w:hint="eastAsia"/>
        </w:rPr>
        <w:t>.3.2  市场需求驱</w:t>
      </w:r>
      <w:bookmarkEnd w:id="98"/>
      <w:r>
        <w:rPr>
          <w:rFonts w:hint="eastAsia"/>
        </w:rPr>
        <w:t>动</w:t>
      </w:r>
      <w:bookmarkEnd w:id="97"/>
    </w:p>
    <w:p w14:paraId="6F99E6EE">
      <w:pPr>
        <w:ind w:firstLine="480"/>
        <w:rPr>
          <w:b/>
          <w:bCs/>
        </w:rPr>
      </w:pPr>
      <w:bookmarkStart w:id="99" w:name="OLE_LINK73"/>
      <w:r>
        <w:t>新能源市场</w:t>
      </w:r>
      <w:r>
        <w:rPr>
          <w:rFonts w:hint="eastAsia"/>
        </w:rPr>
        <w:t>需求的</w:t>
      </w:r>
      <w:r>
        <w:t>不断增长给川能动力绿色转型战略提供重要的机会。在我国发电方面，风能、光伏发电的总装机量呈稳态增长。据统计2016年中国风电</w:t>
      </w:r>
      <w:r>
        <w:rPr>
          <w:rFonts w:hint="eastAsia"/>
        </w:rPr>
        <w:t>累计</w:t>
      </w:r>
      <w:r>
        <w:t>并网</w:t>
      </w:r>
      <w:r>
        <w:rPr>
          <w:rFonts w:hint="eastAsia"/>
        </w:rPr>
        <w:t>装机</w:t>
      </w:r>
      <w:r>
        <w:t>容量达到1.49亿千瓦，比上年增长13.2%，光伏</w:t>
      </w:r>
      <w:r>
        <w:rPr>
          <w:rFonts w:hint="eastAsia"/>
        </w:rPr>
        <w:t>发电</w:t>
      </w:r>
      <w:r>
        <w:t>累计装机量达到0.77亿千瓦，同比增长79.3%。随着清洁能源发电比例越来越高，它既拓宽了川能动力开展风电、光伏项目开发的市场渠道，又促使公司朝着可持续方向发展。锂电产业由于下游需求量大幅度增加而使得上游材料的价值量提高。</w:t>
      </w:r>
      <w:r>
        <w:rPr>
          <w:rFonts w:hint="eastAsia"/>
        </w:rPr>
        <w:t>2016年</w:t>
      </w:r>
      <w:r>
        <w:t>国内新能源汽车产量达到51.7万辆，同比增长51.7%，销量为50.7万辆，增长率为53%；动力电池出货量由上年的17.0GWh增至30.5GWh，增长率达到79.4%。在此情况下，碳酸锂等主要原材料价格急剧上涨，</w:t>
      </w:r>
      <w:r>
        <w:rPr>
          <w:rFonts w:hint="eastAsia"/>
        </w:rPr>
        <w:t>2015年</w:t>
      </w:r>
      <w:r>
        <w:t>每吨不到4万元的价位在</w:t>
      </w:r>
      <w:r>
        <w:rPr>
          <w:rFonts w:hint="eastAsia"/>
        </w:rPr>
        <w:t>2016年</w:t>
      </w:r>
      <w:r>
        <w:t>已经涨到了17万元左右。根据以上行业的趋势，川能动力加快了锂电产业链的部署</w:t>
      </w:r>
      <w:bookmarkStart w:id="100" w:name="OLE_LINK74"/>
      <w:bookmarkEnd w:id="100"/>
      <w:r>
        <w:rPr>
          <w:rFonts w:hint="eastAsia"/>
        </w:rPr>
        <w:t>。</w:t>
      </w:r>
    </w:p>
    <w:bookmarkEnd w:id="99"/>
    <w:p w14:paraId="7E3D3CDB">
      <w:pPr>
        <w:pStyle w:val="4"/>
        <w:spacing w:before="156" w:after="156"/>
      </w:pPr>
      <w:bookmarkStart w:id="101" w:name="_Toc32551"/>
      <w:r>
        <w:t>2.3.3  经济效益驱动</w:t>
      </w:r>
      <w:bookmarkEnd w:id="101"/>
      <w:bookmarkStart w:id="102" w:name="OLE_LINK40"/>
    </w:p>
    <w:p w14:paraId="62997828">
      <w:pPr>
        <w:ind w:firstLine="480"/>
        <w:rPr>
          <w:rFonts w:hint="eastAsia"/>
        </w:rPr>
      </w:pPr>
      <w:r>
        <w:rPr>
          <w:rFonts w:hint="eastAsia"/>
        </w:rPr>
        <w:t>本文采用三个指标分析了川能动力绿色转型前的财务经营状况。如</w:t>
      </w:r>
      <w:r>
        <w:fldChar w:fldCharType="begin"/>
      </w:r>
      <w:r>
        <w:instrText xml:space="preserve"> </w:instrText>
      </w:r>
      <w:r>
        <w:rPr>
          <w:rFonts w:hint="eastAsia"/>
        </w:rPr>
        <w:instrText xml:space="preserve">REF _Ref229421040 \h</w:instrText>
      </w:r>
      <w:r>
        <w:instrText xml:space="preserve"> </w:instrText>
      </w:r>
      <w:r>
        <w:fldChar w:fldCharType="separate"/>
      </w:r>
      <w:r>
        <w:rPr>
          <w:rFonts w:hint="eastAsia"/>
        </w:rPr>
        <w:t>表2.</w:t>
      </w:r>
      <w:r>
        <w:t>1</w:t>
      </w:r>
      <w:r>
        <w:fldChar w:fldCharType="end"/>
      </w:r>
      <w:r>
        <w:rPr>
          <w:rFonts w:hint="eastAsia"/>
        </w:rPr>
        <w:t>所示。</w:t>
      </w:r>
    </w:p>
    <w:bookmarkEnd w:id="102"/>
    <w:p w14:paraId="77848A79">
      <w:pPr>
        <w:pStyle w:val="6"/>
        <w:keepNext/>
        <w:spacing w:before="156" w:after="156"/>
        <w:ind w:firstLine="422"/>
        <w:rPr>
          <w:rFonts w:hint="eastAsia"/>
        </w:rPr>
      </w:pPr>
      <w:bookmarkStart w:id="103" w:name="_Ref229421040"/>
      <w:r>
        <w:rPr>
          <w:rFonts w:hint="eastAsia"/>
        </w:rPr>
        <w:t>表2.</w:t>
      </w:r>
      <w:r>
        <w:fldChar w:fldCharType="begin"/>
      </w:r>
      <w:r>
        <w:instrText xml:space="preserve"> </w:instrText>
      </w:r>
      <w:r>
        <w:rPr>
          <w:rFonts w:hint="eastAsia"/>
        </w:rPr>
        <w:instrText xml:space="preserve">SEQ 表2. \* ARABIC</w:instrText>
      </w:r>
      <w:r>
        <w:instrText xml:space="preserve"> </w:instrText>
      </w:r>
      <w:r>
        <w:fldChar w:fldCharType="separate"/>
      </w:r>
      <w:r>
        <w:t>1</w:t>
      </w:r>
      <w:r>
        <w:fldChar w:fldCharType="end"/>
      </w:r>
      <w:bookmarkEnd w:id="103"/>
      <w:r>
        <w:rPr>
          <w:rFonts w:hint="eastAsia"/>
        </w:rPr>
        <w:t xml:space="preserve">  </w:t>
      </w:r>
      <w:r>
        <w:t>川能动力2011-2015年盈利指标</w:t>
      </w:r>
    </w:p>
    <w:tbl>
      <w:tblPr>
        <w:tblStyle w:val="20"/>
        <w:tblW w:w="8306" w:type="dxa"/>
        <w:jc w:val="center"/>
        <w:tblBorders>
          <w:top w:val="none" w:color="auto" w:sz="4" w:space="0"/>
          <w:left w:val="none" w:color="auto" w:sz="4" w:space="0"/>
          <w:bottom w:val="none" w:color="auto" w:sz="0" w:space="0"/>
          <w:right w:val="none" w:color="auto" w:sz="4" w:space="0"/>
          <w:insideH w:val="none" w:color="auto" w:sz="4" w:space="0"/>
          <w:insideV w:val="none" w:color="auto" w:sz="0" w:space="0"/>
        </w:tblBorders>
        <w:tblLayout w:type="autofit"/>
        <w:tblCellMar>
          <w:top w:w="0" w:type="dxa"/>
          <w:left w:w="108" w:type="dxa"/>
          <w:bottom w:w="0" w:type="dxa"/>
          <w:right w:w="108" w:type="dxa"/>
        </w:tblCellMar>
      </w:tblPr>
      <w:tblGrid>
        <w:gridCol w:w="2023"/>
        <w:gridCol w:w="1284"/>
        <w:gridCol w:w="1143"/>
        <w:gridCol w:w="1285"/>
        <w:gridCol w:w="1285"/>
        <w:gridCol w:w="1286"/>
      </w:tblGrid>
      <w:tr w14:paraId="6137D94C">
        <w:tblPrEx>
          <w:tblBorders>
            <w:top w:val="none" w:color="auto" w:sz="4" w:space="0"/>
            <w:left w:val="none" w:color="auto" w:sz="4" w:space="0"/>
            <w:bottom w:val="none" w:color="auto" w:sz="0" w:space="0"/>
            <w:right w:val="none" w:color="auto" w:sz="4" w:space="0"/>
            <w:insideH w:val="none" w:color="auto" w:sz="4" w:space="0"/>
            <w:insideV w:val="none" w:color="auto" w:sz="0" w:space="0"/>
          </w:tblBorders>
          <w:tblCellMar>
            <w:top w:w="0" w:type="dxa"/>
            <w:left w:w="108" w:type="dxa"/>
            <w:bottom w:w="0" w:type="dxa"/>
            <w:right w:w="108" w:type="dxa"/>
          </w:tblCellMar>
        </w:tblPrEx>
        <w:trPr>
          <w:tblHeader/>
          <w:jc w:val="center"/>
        </w:trPr>
        <w:tc>
          <w:tcPr>
            <w:tcW w:w="2023" w:type="dxa"/>
            <w:tcBorders>
              <w:top w:val="single" w:color="auto" w:sz="12" w:space="0"/>
              <w:left w:val="nil"/>
              <w:bottom w:val="nil"/>
              <w:right w:val="nil"/>
            </w:tcBorders>
            <w:tcMar>
              <w:top w:w="-1" w:type="dxa"/>
              <w:left w:w="-1" w:type="dxa"/>
              <w:bottom w:w="-1" w:type="dxa"/>
              <w:right w:w="-1" w:type="dxa"/>
            </w:tcMar>
          </w:tcPr>
          <w:p w14:paraId="5EFB962C">
            <w:pPr>
              <w:snapToGrid w:val="0"/>
              <w:ind w:firstLine="0" w:firstLineChars="0"/>
              <w:rPr>
                <w:rFonts w:ascii="Segoe UI" w:hAnsi="Segoe UI" w:cs="Segoe UI"/>
                <w:color w:val="0F1115"/>
                <w:sz w:val="21"/>
                <w:szCs w:val="21"/>
                <w:shd w:val="clear" w:color="auto" w:fill="FFFFFF"/>
              </w:rPr>
            </w:pPr>
            <w:r>
              <w:rPr>
                <w:rFonts w:hint="eastAsia" w:ascii="Segoe UI" w:hAnsi="Segoe UI" w:cs="Segoe UI"/>
                <w:color w:val="0F1115"/>
                <w:sz w:val="21"/>
                <w:szCs w:val="21"/>
                <w:shd w:val="clear" w:color="auto" w:fill="FFFFFF"/>
              </w:rPr>
              <w:t>年份</w:t>
            </w:r>
          </w:p>
        </w:tc>
        <w:tc>
          <w:tcPr>
            <w:tcW w:w="1284" w:type="dxa"/>
            <w:tcBorders>
              <w:top w:val="single" w:color="auto" w:sz="12" w:space="0"/>
              <w:left w:val="nil"/>
              <w:bottom w:val="nil"/>
              <w:right w:val="nil"/>
            </w:tcBorders>
            <w:tcMar>
              <w:top w:w="-1" w:type="dxa"/>
              <w:left w:w="-1" w:type="dxa"/>
              <w:bottom w:w="-1" w:type="dxa"/>
              <w:right w:w="-1" w:type="dxa"/>
            </w:tcMar>
          </w:tcPr>
          <w:p w14:paraId="74BCFC09">
            <w:pPr>
              <w:snapToGrid w:val="0"/>
              <w:ind w:firstLine="0" w:firstLineChars="0"/>
              <w:rPr>
                <w:color w:val="0F1115"/>
                <w:sz w:val="21"/>
                <w:szCs w:val="21"/>
                <w:shd w:val="clear" w:color="auto" w:fill="FFFFFF"/>
              </w:rPr>
            </w:pPr>
            <w:r>
              <w:rPr>
                <w:color w:val="0F1115"/>
                <w:sz w:val="21"/>
                <w:szCs w:val="21"/>
                <w:shd w:val="clear" w:color="auto" w:fill="FFFFFF"/>
              </w:rPr>
              <w:t>2011</w:t>
            </w:r>
          </w:p>
        </w:tc>
        <w:tc>
          <w:tcPr>
            <w:tcW w:w="1143" w:type="dxa"/>
            <w:tcBorders>
              <w:top w:val="single" w:color="auto" w:sz="12" w:space="0"/>
              <w:left w:val="nil"/>
              <w:bottom w:val="nil"/>
              <w:right w:val="nil"/>
            </w:tcBorders>
            <w:tcMar>
              <w:top w:w="-1" w:type="dxa"/>
              <w:left w:w="-1" w:type="dxa"/>
              <w:bottom w:w="-1" w:type="dxa"/>
              <w:right w:w="-1" w:type="dxa"/>
            </w:tcMar>
          </w:tcPr>
          <w:p w14:paraId="111DCE3F">
            <w:pPr>
              <w:snapToGrid w:val="0"/>
              <w:ind w:firstLine="0" w:firstLineChars="0"/>
              <w:rPr>
                <w:color w:val="0F1115"/>
                <w:sz w:val="21"/>
                <w:szCs w:val="21"/>
                <w:shd w:val="clear" w:color="auto" w:fill="FFFFFF"/>
              </w:rPr>
            </w:pPr>
            <w:r>
              <w:rPr>
                <w:rFonts w:hint="eastAsia"/>
                <w:color w:val="0F1115"/>
                <w:sz w:val="21"/>
                <w:szCs w:val="21"/>
                <w:shd w:val="clear" w:color="auto" w:fill="FFFFFF"/>
              </w:rPr>
              <w:t>2012</w:t>
            </w:r>
          </w:p>
        </w:tc>
        <w:tc>
          <w:tcPr>
            <w:tcW w:w="1285" w:type="dxa"/>
            <w:tcBorders>
              <w:top w:val="single" w:color="auto" w:sz="12" w:space="0"/>
              <w:left w:val="nil"/>
              <w:bottom w:val="nil"/>
              <w:right w:val="nil"/>
            </w:tcBorders>
            <w:tcMar>
              <w:top w:w="-1" w:type="dxa"/>
              <w:left w:w="-1" w:type="dxa"/>
              <w:bottom w:w="-1" w:type="dxa"/>
              <w:right w:w="-1" w:type="dxa"/>
            </w:tcMar>
          </w:tcPr>
          <w:p w14:paraId="3F7E0CCC">
            <w:pPr>
              <w:snapToGrid w:val="0"/>
              <w:ind w:firstLine="0" w:firstLineChars="0"/>
              <w:rPr>
                <w:color w:val="0F1115"/>
                <w:sz w:val="21"/>
                <w:szCs w:val="21"/>
                <w:shd w:val="clear" w:color="auto" w:fill="FFFFFF"/>
              </w:rPr>
            </w:pPr>
            <w:r>
              <w:rPr>
                <w:rFonts w:hint="eastAsia"/>
                <w:color w:val="0F1115"/>
                <w:sz w:val="21"/>
                <w:szCs w:val="21"/>
                <w:shd w:val="clear" w:color="auto" w:fill="FFFFFF"/>
              </w:rPr>
              <w:t>2013</w:t>
            </w:r>
          </w:p>
        </w:tc>
        <w:tc>
          <w:tcPr>
            <w:tcW w:w="1285" w:type="dxa"/>
            <w:tcBorders>
              <w:top w:val="single" w:color="auto" w:sz="12" w:space="0"/>
              <w:left w:val="nil"/>
              <w:bottom w:val="nil"/>
              <w:right w:val="nil"/>
            </w:tcBorders>
            <w:tcMar>
              <w:top w:w="-1" w:type="dxa"/>
              <w:left w:w="-1" w:type="dxa"/>
              <w:bottom w:w="-1" w:type="dxa"/>
              <w:right w:w="-1" w:type="dxa"/>
            </w:tcMar>
          </w:tcPr>
          <w:p w14:paraId="61BDB3A4">
            <w:pPr>
              <w:snapToGrid w:val="0"/>
              <w:ind w:firstLine="0" w:firstLineChars="0"/>
              <w:rPr>
                <w:color w:val="0F1115"/>
                <w:sz w:val="21"/>
                <w:szCs w:val="21"/>
                <w:shd w:val="clear" w:color="auto" w:fill="FFFFFF"/>
              </w:rPr>
            </w:pPr>
            <w:r>
              <w:rPr>
                <w:rFonts w:hint="eastAsia"/>
                <w:color w:val="0F1115"/>
                <w:sz w:val="21"/>
                <w:szCs w:val="21"/>
                <w:shd w:val="clear" w:color="auto" w:fill="FFFFFF"/>
              </w:rPr>
              <w:t>2014</w:t>
            </w:r>
          </w:p>
        </w:tc>
        <w:tc>
          <w:tcPr>
            <w:tcW w:w="1285" w:type="dxa"/>
            <w:tcBorders>
              <w:top w:val="single" w:color="auto" w:sz="12" w:space="0"/>
              <w:left w:val="nil"/>
              <w:bottom w:val="nil"/>
              <w:right w:val="nil"/>
            </w:tcBorders>
            <w:tcMar>
              <w:top w:w="-1" w:type="dxa"/>
              <w:left w:w="-1" w:type="dxa"/>
              <w:bottom w:w="-1" w:type="dxa"/>
              <w:right w:w="-1" w:type="dxa"/>
            </w:tcMar>
          </w:tcPr>
          <w:p w14:paraId="45A189FF">
            <w:pPr>
              <w:snapToGrid w:val="0"/>
              <w:ind w:firstLine="0" w:firstLineChars="0"/>
              <w:rPr>
                <w:color w:val="0F1115"/>
                <w:sz w:val="21"/>
                <w:szCs w:val="21"/>
                <w:shd w:val="clear" w:color="auto" w:fill="FFFFFF"/>
              </w:rPr>
            </w:pPr>
            <w:r>
              <w:rPr>
                <w:rFonts w:hint="eastAsia"/>
                <w:color w:val="0F1115"/>
                <w:sz w:val="21"/>
                <w:szCs w:val="21"/>
                <w:shd w:val="clear" w:color="auto" w:fill="FFFFFF"/>
              </w:rPr>
              <w:t>2015</w:t>
            </w:r>
          </w:p>
        </w:tc>
      </w:tr>
      <w:tr w14:paraId="07F5C5EE">
        <w:tblPrEx>
          <w:tblBorders>
            <w:top w:val="none" w:color="auto" w:sz="4" w:space="0"/>
            <w:left w:val="none" w:color="auto" w:sz="4" w:space="0"/>
            <w:bottom w:val="none" w:color="auto" w:sz="0" w:space="0"/>
            <w:right w:val="none" w:color="auto" w:sz="4" w:space="0"/>
            <w:insideH w:val="none" w:color="auto" w:sz="4" w:space="0"/>
            <w:insideV w:val="none" w:color="auto" w:sz="0" w:space="0"/>
          </w:tblBorders>
          <w:tblCellMar>
            <w:top w:w="0" w:type="dxa"/>
            <w:left w:w="108" w:type="dxa"/>
            <w:bottom w:w="0" w:type="dxa"/>
            <w:right w:w="108" w:type="dxa"/>
          </w:tblCellMar>
        </w:tblPrEx>
        <w:trPr>
          <w:tblHeader/>
          <w:jc w:val="center"/>
        </w:trPr>
        <w:tc>
          <w:tcPr>
            <w:tcW w:w="2023" w:type="dxa"/>
            <w:tcBorders>
              <w:top w:val="single" w:color="auto" w:sz="4" w:space="0"/>
              <w:left w:val="nil"/>
              <w:bottom w:val="nil"/>
              <w:right w:val="nil"/>
            </w:tcBorders>
            <w:tcMar>
              <w:top w:w="-1" w:type="dxa"/>
              <w:left w:w="-1" w:type="dxa"/>
              <w:bottom w:w="-1" w:type="dxa"/>
              <w:right w:w="-1" w:type="dxa"/>
            </w:tcMar>
          </w:tcPr>
          <w:p w14:paraId="36981466">
            <w:pPr>
              <w:snapToGrid w:val="0"/>
              <w:ind w:firstLine="0" w:firstLineChars="0"/>
              <w:rPr>
                <w:rFonts w:ascii="Segoe UI" w:hAnsi="Segoe UI" w:cs="Segoe UI"/>
                <w:color w:val="0F1115"/>
                <w:shd w:val="clear" w:color="auto" w:fill="FFFFFF"/>
              </w:rPr>
            </w:pPr>
            <w:r>
              <w:rPr>
                <w:rFonts w:hint="eastAsia" w:ascii="Segoe UI" w:hAnsi="Segoe UI" w:cs="Segoe UI"/>
                <w:color w:val="0F1115"/>
                <w:sz w:val="21"/>
                <w:szCs w:val="21"/>
                <w:shd w:val="clear" w:color="auto" w:fill="FFFFFF"/>
              </w:rPr>
              <w:t>总资产报酬率</w:t>
            </w:r>
          </w:p>
        </w:tc>
        <w:tc>
          <w:tcPr>
            <w:tcW w:w="1284" w:type="dxa"/>
            <w:tcBorders>
              <w:top w:val="single" w:color="auto" w:sz="4" w:space="0"/>
              <w:left w:val="nil"/>
              <w:bottom w:val="nil"/>
              <w:right w:val="nil"/>
            </w:tcBorders>
            <w:tcMar>
              <w:top w:w="-1" w:type="dxa"/>
              <w:left w:w="-1" w:type="dxa"/>
              <w:bottom w:w="-1" w:type="dxa"/>
              <w:right w:w="-1" w:type="dxa"/>
            </w:tcMar>
          </w:tcPr>
          <w:p w14:paraId="03535417">
            <w:pPr>
              <w:snapToGrid w:val="0"/>
              <w:ind w:firstLine="0" w:firstLineChars="0"/>
              <w:rPr>
                <w:color w:val="0F1115"/>
                <w:sz w:val="21"/>
                <w:szCs w:val="21"/>
                <w:shd w:val="clear" w:color="auto" w:fill="FFFFFF"/>
              </w:rPr>
            </w:pPr>
            <w:r>
              <w:rPr>
                <w:rFonts w:hint="eastAsia"/>
                <w:color w:val="0F1115"/>
                <w:sz w:val="21"/>
                <w:szCs w:val="21"/>
                <w:shd w:val="clear" w:color="auto" w:fill="FFFFFF"/>
              </w:rPr>
              <w:t>-6.08%</w:t>
            </w:r>
          </w:p>
        </w:tc>
        <w:tc>
          <w:tcPr>
            <w:tcW w:w="1143" w:type="dxa"/>
            <w:tcBorders>
              <w:top w:val="single" w:color="auto" w:sz="4" w:space="0"/>
              <w:left w:val="nil"/>
              <w:bottom w:val="nil"/>
              <w:right w:val="nil"/>
            </w:tcBorders>
            <w:tcMar>
              <w:top w:w="-1" w:type="dxa"/>
              <w:left w:w="-1" w:type="dxa"/>
              <w:bottom w:w="-1" w:type="dxa"/>
              <w:right w:w="-1" w:type="dxa"/>
            </w:tcMar>
          </w:tcPr>
          <w:p w14:paraId="2ECDB153">
            <w:pPr>
              <w:snapToGrid w:val="0"/>
              <w:ind w:firstLine="0" w:firstLineChars="0"/>
              <w:rPr>
                <w:color w:val="0F1115"/>
                <w:sz w:val="21"/>
                <w:szCs w:val="21"/>
                <w:shd w:val="clear" w:color="auto" w:fill="FFFFFF"/>
              </w:rPr>
            </w:pPr>
            <w:r>
              <w:rPr>
                <w:rFonts w:hint="eastAsia"/>
                <w:color w:val="0F1115"/>
                <w:sz w:val="21"/>
                <w:szCs w:val="21"/>
                <w:shd w:val="clear" w:color="auto" w:fill="FFFFFF"/>
              </w:rPr>
              <w:t>2.11%</w:t>
            </w:r>
          </w:p>
        </w:tc>
        <w:tc>
          <w:tcPr>
            <w:tcW w:w="1285" w:type="dxa"/>
            <w:tcBorders>
              <w:top w:val="single" w:color="auto" w:sz="4" w:space="0"/>
              <w:left w:val="nil"/>
              <w:bottom w:val="nil"/>
              <w:right w:val="nil"/>
            </w:tcBorders>
            <w:tcMar>
              <w:top w:w="-1" w:type="dxa"/>
              <w:left w:w="-1" w:type="dxa"/>
              <w:bottom w:w="-1" w:type="dxa"/>
              <w:right w:w="-1" w:type="dxa"/>
            </w:tcMar>
          </w:tcPr>
          <w:p w14:paraId="2418951F">
            <w:pPr>
              <w:snapToGrid w:val="0"/>
              <w:ind w:firstLine="0" w:firstLineChars="0"/>
              <w:rPr>
                <w:color w:val="0F1115"/>
                <w:sz w:val="21"/>
                <w:szCs w:val="21"/>
                <w:shd w:val="clear" w:color="auto" w:fill="FFFFFF"/>
              </w:rPr>
            </w:pPr>
            <w:r>
              <w:rPr>
                <w:rFonts w:hint="eastAsia"/>
                <w:color w:val="0F1115"/>
                <w:sz w:val="21"/>
                <w:szCs w:val="21"/>
                <w:shd w:val="clear" w:color="auto" w:fill="FFFFFF"/>
              </w:rPr>
              <w:t>-18.23%</w:t>
            </w:r>
          </w:p>
        </w:tc>
        <w:tc>
          <w:tcPr>
            <w:tcW w:w="1285" w:type="dxa"/>
            <w:tcBorders>
              <w:top w:val="single" w:color="auto" w:sz="4" w:space="0"/>
              <w:left w:val="nil"/>
              <w:bottom w:val="nil"/>
              <w:right w:val="nil"/>
            </w:tcBorders>
            <w:tcMar>
              <w:top w:w="-1" w:type="dxa"/>
              <w:left w:w="-1" w:type="dxa"/>
              <w:bottom w:w="-1" w:type="dxa"/>
              <w:right w:w="-1" w:type="dxa"/>
            </w:tcMar>
          </w:tcPr>
          <w:p w14:paraId="5E1D9A2E">
            <w:pPr>
              <w:snapToGrid w:val="0"/>
              <w:ind w:firstLine="0" w:firstLineChars="0"/>
              <w:rPr>
                <w:color w:val="0F1115"/>
                <w:sz w:val="21"/>
                <w:szCs w:val="21"/>
                <w:shd w:val="clear" w:color="auto" w:fill="FFFFFF"/>
              </w:rPr>
            </w:pPr>
            <w:r>
              <w:rPr>
                <w:rFonts w:hint="eastAsia"/>
                <w:color w:val="0F1115"/>
                <w:sz w:val="21"/>
                <w:szCs w:val="21"/>
                <w:shd w:val="clear" w:color="auto" w:fill="FFFFFF"/>
              </w:rPr>
              <w:t>-67.14%</w:t>
            </w:r>
          </w:p>
        </w:tc>
        <w:tc>
          <w:tcPr>
            <w:tcW w:w="1285" w:type="dxa"/>
            <w:tcBorders>
              <w:top w:val="single" w:color="auto" w:sz="4" w:space="0"/>
              <w:left w:val="nil"/>
              <w:bottom w:val="nil"/>
              <w:right w:val="nil"/>
            </w:tcBorders>
            <w:tcMar>
              <w:top w:w="-1" w:type="dxa"/>
              <w:left w:w="-1" w:type="dxa"/>
              <w:bottom w:w="-1" w:type="dxa"/>
              <w:right w:w="-1" w:type="dxa"/>
            </w:tcMar>
          </w:tcPr>
          <w:p w14:paraId="30B0C156">
            <w:pPr>
              <w:snapToGrid w:val="0"/>
              <w:ind w:firstLine="0" w:firstLineChars="0"/>
              <w:rPr>
                <w:color w:val="0F1115"/>
                <w:sz w:val="21"/>
                <w:szCs w:val="21"/>
                <w:shd w:val="clear" w:color="auto" w:fill="FFFFFF"/>
              </w:rPr>
            </w:pPr>
            <w:r>
              <w:rPr>
                <w:rFonts w:hint="eastAsia"/>
                <w:color w:val="0F1115"/>
                <w:sz w:val="21"/>
                <w:szCs w:val="21"/>
                <w:shd w:val="clear" w:color="auto" w:fill="FFFFFF"/>
              </w:rPr>
              <w:t>-59.56%</w:t>
            </w:r>
          </w:p>
        </w:tc>
      </w:tr>
      <w:tr w14:paraId="676ED7D0">
        <w:tblPrEx>
          <w:tblBorders>
            <w:top w:val="none" w:color="auto" w:sz="4" w:space="0"/>
            <w:left w:val="none" w:color="auto" w:sz="4" w:space="0"/>
            <w:bottom w:val="none" w:color="auto" w:sz="0" w:space="0"/>
            <w:right w:val="none" w:color="auto" w:sz="4" w:space="0"/>
            <w:insideH w:val="none" w:color="auto" w:sz="4" w:space="0"/>
            <w:insideV w:val="none" w:color="auto" w:sz="0" w:space="0"/>
          </w:tblBorders>
          <w:tblCellMar>
            <w:top w:w="0" w:type="dxa"/>
            <w:left w:w="108" w:type="dxa"/>
            <w:bottom w:w="0" w:type="dxa"/>
            <w:right w:w="108" w:type="dxa"/>
          </w:tblCellMar>
        </w:tblPrEx>
        <w:trPr>
          <w:tblHeader/>
          <w:jc w:val="center"/>
        </w:trPr>
        <w:tc>
          <w:tcPr>
            <w:tcW w:w="2023" w:type="dxa"/>
            <w:tcBorders>
              <w:top w:val="nil"/>
              <w:left w:val="nil"/>
              <w:bottom w:val="nil"/>
              <w:right w:val="nil"/>
            </w:tcBorders>
            <w:tcMar>
              <w:top w:w="-1" w:type="dxa"/>
              <w:left w:w="-1" w:type="dxa"/>
              <w:bottom w:w="-1" w:type="dxa"/>
              <w:right w:w="-1" w:type="dxa"/>
            </w:tcMar>
          </w:tcPr>
          <w:p w14:paraId="7AB6EC16">
            <w:pPr>
              <w:snapToGrid w:val="0"/>
              <w:ind w:firstLine="0" w:firstLineChars="0"/>
              <w:rPr>
                <w:rFonts w:ascii="Segoe UI" w:hAnsi="Segoe UI" w:cs="Segoe UI"/>
                <w:color w:val="0F1115"/>
                <w:shd w:val="clear" w:color="auto" w:fill="FFFFFF"/>
              </w:rPr>
            </w:pPr>
            <w:r>
              <w:rPr>
                <w:rFonts w:hint="eastAsia" w:ascii="Segoe UI" w:hAnsi="Segoe UI" w:cs="Segoe UI"/>
                <w:color w:val="0F1115"/>
                <w:sz w:val="21"/>
                <w:szCs w:val="21"/>
                <w:shd w:val="clear" w:color="auto" w:fill="FFFFFF"/>
              </w:rPr>
              <w:t>营业利润率</w:t>
            </w:r>
          </w:p>
        </w:tc>
        <w:tc>
          <w:tcPr>
            <w:tcW w:w="1284" w:type="dxa"/>
            <w:tcBorders>
              <w:top w:val="nil"/>
              <w:left w:val="nil"/>
              <w:bottom w:val="nil"/>
              <w:right w:val="nil"/>
            </w:tcBorders>
            <w:tcMar>
              <w:top w:w="-1" w:type="dxa"/>
              <w:left w:w="-1" w:type="dxa"/>
              <w:bottom w:w="-1" w:type="dxa"/>
              <w:right w:w="-1" w:type="dxa"/>
            </w:tcMar>
          </w:tcPr>
          <w:p w14:paraId="568C03C6">
            <w:pPr>
              <w:snapToGrid w:val="0"/>
              <w:ind w:firstLine="0" w:firstLineChars="0"/>
              <w:rPr>
                <w:color w:val="0F1115"/>
                <w:sz w:val="21"/>
                <w:szCs w:val="21"/>
                <w:shd w:val="clear" w:color="auto" w:fill="FFFFFF"/>
              </w:rPr>
            </w:pPr>
            <w:r>
              <w:rPr>
                <w:rFonts w:hint="eastAsia"/>
                <w:color w:val="0F1115"/>
                <w:sz w:val="21"/>
                <w:szCs w:val="21"/>
                <w:shd w:val="clear" w:color="auto" w:fill="FFFFFF"/>
              </w:rPr>
              <w:t>-13.46%</w:t>
            </w:r>
          </w:p>
        </w:tc>
        <w:tc>
          <w:tcPr>
            <w:tcW w:w="1143" w:type="dxa"/>
            <w:tcBorders>
              <w:top w:val="nil"/>
              <w:left w:val="nil"/>
              <w:bottom w:val="nil"/>
              <w:right w:val="nil"/>
            </w:tcBorders>
            <w:tcMar>
              <w:top w:w="-1" w:type="dxa"/>
              <w:left w:w="-1" w:type="dxa"/>
              <w:bottom w:w="-1" w:type="dxa"/>
              <w:right w:w="-1" w:type="dxa"/>
            </w:tcMar>
          </w:tcPr>
          <w:p w14:paraId="54799F77">
            <w:pPr>
              <w:snapToGrid w:val="0"/>
              <w:ind w:firstLine="0" w:firstLineChars="0"/>
              <w:rPr>
                <w:color w:val="0F1115"/>
                <w:sz w:val="21"/>
                <w:szCs w:val="21"/>
                <w:shd w:val="clear" w:color="auto" w:fill="FFFFFF"/>
              </w:rPr>
            </w:pPr>
            <w:r>
              <w:rPr>
                <w:rFonts w:hint="eastAsia"/>
                <w:color w:val="0F1115"/>
                <w:sz w:val="21"/>
                <w:szCs w:val="21"/>
                <w:shd w:val="clear" w:color="auto" w:fill="FFFFFF"/>
              </w:rPr>
              <w:t>-4.99%</w:t>
            </w:r>
          </w:p>
        </w:tc>
        <w:tc>
          <w:tcPr>
            <w:tcW w:w="1285" w:type="dxa"/>
            <w:tcBorders>
              <w:top w:val="nil"/>
              <w:left w:val="nil"/>
              <w:bottom w:val="nil"/>
              <w:right w:val="nil"/>
            </w:tcBorders>
            <w:tcMar>
              <w:top w:w="-1" w:type="dxa"/>
              <w:left w:w="-1" w:type="dxa"/>
              <w:bottom w:w="-1" w:type="dxa"/>
              <w:right w:w="-1" w:type="dxa"/>
            </w:tcMar>
          </w:tcPr>
          <w:p w14:paraId="58E77E95">
            <w:pPr>
              <w:snapToGrid w:val="0"/>
              <w:ind w:firstLine="0" w:firstLineChars="0"/>
              <w:rPr>
                <w:color w:val="0F1115"/>
                <w:sz w:val="21"/>
                <w:szCs w:val="21"/>
                <w:shd w:val="clear" w:color="auto" w:fill="FFFFFF"/>
              </w:rPr>
            </w:pPr>
            <w:r>
              <w:rPr>
                <w:rFonts w:hint="eastAsia"/>
                <w:color w:val="0F1115"/>
                <w:sz w:val="21"/>
                <w:szCs w:val="21"/>
                <w:shd w:val="clear" w:color="auto" w:fill="FFFFFF"/>
              </w:rPr>
              <w:t>-36.81%</w:t>
            </w:r>
          </w:p>
        </w:tc>
        <w:tc>
          <w:tcPr>
            <w:tcW w:w="1285" w:type="dxa"/>
            <w:tcBorders>
              <w:top w:val="nil"/>
              <w:left w:val="nil"/>
              <w:bottom w:val="nil"/>
              <w:right w:val="nil"/>
            </w:tcBorders>
            <w:tcMar>
              <w:top w:w="-1" w:type="dxa"/>
              <w:left w:w="-1" w:type="dxa"/>
              <w:bottom w:w="-1" w:type="dxa"/>
              <w:right w:w="-1" w:type="dxa"/>
            </w:tcMar>
          </w:tcPr>
          <w:p w14:paraId="43EFF89D">
            <w:pPr>
              <w:snapToGrid w:val="0"/>
              <w:ind w:firstLine="0" w:firstLineChars="0"/>
              <w:rPr>
                <w:color w:val="0F1115"/>
                <w:sz w:val="21"/>
                <w:szCs w:val="21"/>
                <w:shd w:val="clear" w:color="auto" w:fill="FFFFFF"/>
              </w:rPr>
            </w:pPr>
            <w:r>
              <w:rPr>
                <w:rFonts w:hint="eastAsia"/>
                <w:color w:val="0F1115"/>
                <w:sz w:val="21"/>
                <w:szCs w:val="21"/>
                <w:shd w:val="clear" w:color="auto" w:fill="FFFFFF"/>
              </w:rPr>
              <w:t>-189%</w:t>
            </w:r>
          </w:p>
        </w:tc>
        <w:tc>
          <w:tcPr>
            <w:tcW w:w="1285" w:type="dxa"/>
            <w:tcBorders>
              <w:top w:val="nil"/>
              <w:left w:val="nil"/>
              <w:bottom w:val="nil"/>
              <w:right w:val="nil"/>
            </w:tcBorders>
            <w:tcMar>
              <w:top w:w="-1" w:type="dxa"/>
              <w:left w:w="-1" w:type="dxa"/>
              <w:bottom w:w="-1" w:type="dxa"/>
              <w:right w:w="-1" w:type="dxa"/>
            </w:tcMar>
          </w:tcPr>
          <w:p w14:paraId="68217ABF">
            <w:pPr>
              <w:snapToGrid w:val="0"/>
              <w:ind w:firstLine="0" w:firstLineChars="0"/>
              <w:rPr>
                <w:color w:val="0F1115"/>
                <w:sz w:val="21"/>
                <w:szCs w:val="21"/>
                <w:shd w:val="clear" w:color="auto" w:fill="FFFFFF"/>
              </w:rPr>
            </w:pPr>
            <w:r>
              <w:rPr>
                <w:rFonts w:hint="eastAsia"/>
                <w:color w:val="0F1115"/>
                <w:sz w:val="21"/>
                <w:szCs w:val="21"/>
                <w:shd w:val="clear" w:color="auto" w:fill="FFFFFF"/>
              </w:rPr>
              <w:t>-226%</w:t>
            </w:r>
          </w:p>
        </w:tc>
      </w:tr>
      <w:tr w14:paraId="300CF9FD">
        <w:tblPrEx>
          <w:tblBorders>
            <w:top w:val="none" w:color="auto" w:sz="4" w:space="0"/>
            <w:left w:val="none" w:color="auto" w:sz="4" w:space="0"/>
            <w:bottom w:val="none" w:color="auto" w:sz="0" w:space="0"/>
            <w:right w:val="none" w:color="auto" w:sz="4" w:space="0"/>
            <w:insideH w:val="none" w:color="auto" w:sz="4" w:space="0"/>
            <w:insideV w:val="none" w:color="auto" w:sz="0" w:space="0"/>
          </w:tblBorders>
          <w:tblCellMar>
            <w:top w:w="0" w:type="dxa"/>
            <w:left w:w="108" w:type="dxa"/>
            <w:bottom w:w="0" w:type="dxa"/>
            <w:right w:w="108" w:type="dxa"/>
          </w:tblCellMar>
        </w:tblPrEx>
        <w:trPr>
          <w:tblHeader/>
          <w:jc w:val="center"/>
        </w:trPr>
        <w:tc>
          <w:tcPr>
            <w:tcW w:w="2023" w:type="dxa"/>
            <w:tcBorders>
              <w:top w:val="nil"/>
              <w:left w:val="nil"/>
              <w:bottom w:val="single" w:color="auto" w:sz="12" w:space="0"/>
              <w:right w:val="nil"/>
            </w:tcBorders>
            <w:tcMar>
              <w:top w:w="-1" w:type="dxa"/>
              <w:left w:w="-1" w:type="dxa"/>
              <w:bottom w:w="-1" w:type="dxa"/>
              <w:right w:w="-1" w:type="dxa"/>
            </w:tcMar>
          </w:tcPr>
          <w:p w14:paraId="225A2C04">
            <w:pPr>
              <w:snapToGrid w:val="0"/>
              <w:ind w:firstLine="0" w:firstLineChars="0"/>
              <w:rPr>
                <w:rFonts w:ascii="Segoe UI" w:hAnsi="Segoe UI" w:cs="Segoe UI"/>
                <w:color w:val="0F1115"/>
                <w:shd w:val="clear" w:color="auto" w:fill="FFFFFF"/>
              </w:rPr>
            </w:pPr>
            <w:r>
              <w:rPr>
                <w:rFonts w:hint="eastAsia" w:ascii="Segoe UI" w:hAnsi="Segoe UI" w:cs="Segoe UI"/>
                <w:color w:val="0F1115"/>
                <w:sz w:val="21"/>
                <w:szCs w:val="21"/>
                <w:shd w:val="clear" w:color="auto" w:fill="FFFFFF"/>
              </w:rPr>
              <w:t>销售净利率</w:t>
            </w:r>
          </w:p>
        </w:tc>
        <w:tc>
          <w:tcPr>
            <w:tcW w:w="1284" w:type="dxa"/>
            <w:tcBorders>
              <w:top w:val="nil"/>
              <w:left w:val="nil"/>
              <w:bottom w:val="single" w:color="auto" w:sz="12" w:space="0"/>
              <w:right w:val="nil"/>
            </w:tcBorders>
            <w:tcMar>
              <w:top w:w="-1" w:type="dxa"/>
              <w:left w:w="-1" w:type="dxa"/>
              <w:bottom w:w="-1" w:type="dxa"/>
              <w:right w:w="-1" w:type="dxa"/>
            </w:tcMar>
          </w:tcPr>
          <w:p w14:paraId="78576D0B">
            <w:pPr>
              <w:snapToGrid w:val="0"/>
              <w:ind w:firstLine="0" w:firstLineChars="0"/>
              <w:rPr>
                <w:color w:val="0F1115"/>
                <w:sz w:val="21"/>
                <w:szCs w:val="21"/>
                <w:shd w:val="clear" w:color="auto" w:fill="FFFFFF"/>
              </w:rPr>
            </w:pPr>
            <w:r>
              <w:rPr>
                <w:rFonts w:hint="eastAsia"/>
                <w:color w:val="0F1115"/>
                <w:sz w:val="21"/>
                <w:szCs w:val="21"/>
                <w:shd w:val="clear" w:color="auto" w:fill="FFFFFF"/>
              </w:rPr>
              <w:t>-10.50%</w:t>
            </w:r>
          </w:p>
        </w:tc>
        <w:tc>
          <w:tcPr>
            <w:tcW w:w="1143" w:type="dxa"/>
            <w:tcBorders>
              <w:top w:val="nil"/>
              <w:left w:val="nil"/>
              <w:bottom w:val="single" w:color="auto" w:sz="12" w:space="0"/>
              <w:right w:val="nil"/>
            </w:tcBorders>
            <w:tcMar>
              <w:top w:w="-1" w:type="dxa"/>
              <w:left w:w="-1" w:type="dxa"/>
              <w:bottom w:w="-1" w:type="dxa"/>
              <w:right w:w="-1" w:type="dxa"/>
            </w:tcMar>
          </w:tcPr>
          <w:p w14:paraId="4CFF25CC">
            <w:pPr>
              <w:snapToGrid w:val="0"/>
              <w:ind w:firstLine="0" w:firstLineChars="0"/>
              <w:rPr>
                <w:color w:val="0F1115"/>
                <w:sz w:val="21"/>
                <w:szCs w:val="21"/>
                <w:shd w:val="clear" w:color="auto" w:fill="FFFFFF"/>
              </w:rPr>
            </w:pPr>
            <w:r>
              <w:rPr>
                <w:rFonts w:hint="eastAsia"/>
                <w:color w:val="0F1115"/>
                <w:sz w:val="21"/>
                <w:szCs w:val="21"/>
                <w:shd w:val="clear" w:color="auto" w:fill="FFFFFF"/>
              </w:rPr>
              <w:t>0.07%</w:t>
            </w:r>
          </w:p>
        </w:tc>
        <w:tc>
          <w:tcPr>
            <w:tcW w:w="1285" w:type="dxa"/>
            <w:tcBorders>
              <w:top w:val="nil"/>
              <w:left w:val="nil"/>
              <w:bottom w:val="single" w:color="auto" w:sz="12" w:space="0"/>
              <w:right w:val="nil"/>
            </w:tcBorders>
            <w:tcMar>
              <w:top w:w="-1" w:type="dxa"/>
              <w:left w:w="-1" w:type="dxa"/>
              <w:bottom w:w="-1" w:type="dxa"/>
              <w:right w:w="-1" w:type="dxa"/>
            </w:tcMar>
          </w:tcPr>
          <w:p w14:paraId="7359E50A">
            <w:pPr>
              <w:snapToGrid w:val="0"/>
              <w:ind w:firstLine="0" w:firstLineChars="0"/>
              <w:rPr>
                <w:color w:val="0F1115"/>
                <w:sz w:val="21"/>
                <w:szCs w:val="21"/>
                <w:shd w:val="clear" w:color="auto" w:fill="FFFFFF"/>
              </w:rPr>
            </w:pPr>
            <w:r>
              <w:rPr>
                <w:rFonts w:hint="eastAsia"/>
                <w:color w:val="0F1115"/>
                <w:sz w:val="21"/>
                <w:szCs w:val="21"/>
                <w:shd w:val="clear" w:color="auto" w:fill="FFFFFF"/>
              </w:rPr>
              <w:t>-39.32%</w:t>
            </w:r>
          </w:p>
        </w:tc>
        <w:tc>
          <w:tcPr>
            <w:tcW w:w="1285" w:type="dxa"/>
            <w:tcBorders>
              <w:top w:val="nil"/>
              <w:left w:val="nil"/>
              <w:bottom w:val="single" w:color="auto" w:sz="12" w:space="0"/>
              <w:right w:val="nil"/>
            </w:tcBorders>
            <w:tcMar>
              <w:top w:w="-1" w:type="dxa"/>
              <w:left w:w="-1" w:type="dxa"/>
              <w:bottom w:w="-1" w:type="dxa"/>
              <w:right w:w="-1" w:type="dxa"/>
            </w:tcMar>
          </w:tcPr>
          <w:p w14:paraId="5AB499FB">
            <w:pPr>
              <w:snapToGrid w:val="0"/>
              <w:ind w:firstLine="0" w:firstLineChars="0"/>
              <w:rPr>
                <w:color w:val="0F1115"/>
                <w:sz w:val="21"/>
                <w:szCs w:val="21"/>
                <w:shd w:val="clear" w:color="auto" w:fill="FFFFFF"/>
              </w:rPr>
            </w:pPr>
            <w:r>
              <w:rPr>
                <w:rFonts w:hint="eastAsia"/>
                <w:color w:val="0F1115"/>
                <w:sz w:val="21"/>
                <w:szCs w:val="21"/>
                <w:shd w:val="clear" w:color="auto" w:fill="FFFFFF"/>
              </w:rPr>
              <w:t>-196%</w:t>
            </w:r>
          </w:p>
        </w:tc>
        <w:tc>
          <w:tcPr>
            <w:tcW w:w="1285" w:type="dxa"/>
            <w:tcBorders>
              <w:top w:val="nil"/>
              <w:left w:val="nil"/>
              <w:bottom w:val="single" w:color="auto" w:sz="12" w:space="0"/>
              <w:right w:val="nil"/>
            </w:tcBorders>
            <w:tcMar>
              <w:top w:w="-1" w:type="dxa"/>
              <w:left w:w="-1" w:type="dxa"/>
              <w:bottom w:w="-1" w:type="dxa"/>
              <w:right w:w="-1" w:type="dxa"/>
            </w:tcMar>
          </w:tcPr>
          <w:p w14:paraId="5D841B02">
            <w:pPr>
              <w:snapToGrid w:val="0"/>
              <w:ind w:firstLine="0" w:firstLineChars="0"/>
              <w:rPr>
                <w:color w:val="0F1115"/>
                <w:sz w:val="21"/>
                <w:szCs w:val="21"/>
                <w:shd w:val="clear" w:color="auto" w:fill="FFFFFF"/>
              </w:rPr>
            </w:pPr>
            <w:r>
              <w:rPr>
                <w:rFonts w:hint="eastAsia"/>
                <w:color w:val="0F1115"/>
                <w:sz w:val="21"/>
                <w:szCs w:val="21"/>
                <w:shd w:val="clear" w:color="auto" w:fill="FFFFFF"/>
              </w:rPr>
              <w:t>-222%</w:t>
            </w:r>
          </w:p>
        </w:tc>
      </w:tr>
    </w:tbl>
    <w:p w14:paraId="7CDF25B7">
      <w:pPr>
        <w:ind w:firstLine="480"/>
      </w:pPr>
      <w:bookmarkStart w:id="104" w:name="OLE_LINK41"/>
      <w:bookmarkEnd w:id="104"/>
      <w:bookmarkStart w:id="105" w:name="OLE_LINK183"/>
      <w:bookmarkEnd w:id="105"/>
      <w:bookmarkStart w:id="106" w:name="OLE_LINK182"/>
      <w:bookmarkEnd w:id="106"/>
      <w:bookmarkStart w:id="107" w:name="OLE_LINK53"/>
      <w:bookmarkEnd w:id="107"/>
      <w:bookmarkStart w:id="108" w:name="OLE_LINK184"/>
      <w:bookmarkEnd w:id="108"/>
      <w:bookmarkStart w:id="109" w:name="OLE_LINK209"/>
      <w:bookmarkStart w:id="110" w:name="OLE_LINK179"/>
      <w:bookmarkStart w:id="111" w:name="OLE_LINK186"/>
      <w:r>
        <w:t>从</w:t>
      </w:r>
      <w:r>
        <w:fldChar w:fldCharType="begin"/>
      </w:r>
      <w:r>
        <w:instrText xml:space="preserve"> REF _Ref17551 \h </w:instrText>
      </w:r>
      <w:r>
        <w:fldChar w:fldCharType="separate"/>
      </w:r>
      <w:r>
        <w:t>表2.1</w:t>
      </w:r>
      <w:r>
        <w:fldChar w:fldCharType="end"/>
      </w:r>
      <w:r>
        <w:t>可以看出，</w:t>
      </w:r>
      <w:bookmarkEnd w:id="109"/>
      <w:r>
        <w:t>川能动力在</w:t>
      </w:r>
      <w:r>
        <w:rPr>
          <w:rFonts w:hint="eastAsia"/>
        </w:rPr>
        <w:t>2017年</w:t>
      </w:r>
      <w:r>
        <w:t>开始实行绿色转型</w:t>
      </w:r>
      <w:r>
        <w:rPr>
          <w:rFonts w:hint="eastAsia"/>
        </w:rPr>
        <w:t>之前</w:t>
      </w:r>
      <w:r>
        <w:t>，其经营情况存在着明显的周期性亏损现象。从201</w:t>
      </w:r>
      <w:r>
        <w:rPr>
          <w:rFonts w:hint="eastAsia"/>
        </w:rPr>
        <w:t>3</w:t>
      </w:r>
      <w:r>
        <w:t>年到2015年这</w:t>
      </w:r>
      <w:r>
        <w:rPr>
          <w:rFonts w:hint="eastAsia"/>
        </w:rPr>
        <w:t>三</w:t>
      </w:r>
      <w:r>
        <w:t>年时间里各项</w:t>
      </w:r>
      <w:r>
        <w:rPr>
          <w:rFonts w:hint="eastAsia"/>
        </w:rPr>
        <w:t>盈利</w:t>
      </w:r>
      <w:r>
        <w:t>指标</w:t>
      </w:r>
      <w:r>
        <w:rPr>
          <w:rFonts w:hint="eastAsia"/>
        </w:rPr>
        <w:t>表现</w:t>
      </w:r>
      <w:r>
        <w:t>都很</w:t>
      </w:r>
      <w:r>
        <w:rPr>
          <w:rFonts w:hint="eastAsia"/>
        </w:rPr>
        <w:t>差</w:t>
      </w:r>
      <w:r>
        <w:t>。2015年营业利润率、销售净利润率</w:t>
      </w:r>
      <w:r>
        <w:rPr>
          <w:rFonts w:hint="eastAsia"/>
        </w:rPr>
        <w:t>分别</w:t>
      </w:r>
      <w:r>
        <w:t>降到了</w:t>
      </w:r>
      <w:r>
        <w:rPr>
          <w:rFonts w:hint="eastAsia"/>
        </w:rPr>
        <w:t>-</w:t>
      </w:r>
      <w:r>
        <w:t>226%、</w:t>
      </w:r>
      <w:r>
        <w:rPr>
          <w:rFonts w:hint="eastAsia"/>
        </w:rPr>
        <w:t>-</w:t>
      </w:r>
      <w:r>
        <w:t>222%，表示企业已经处于</w:t>
      </w:r>
      <w:r>
        <w:rPr>
          <w:rFonts w:hint="eastAsia"/>
        </w:rPr>
        <w:t>经营</w:t>
      </w:r>
      <w:r>
        <w:t>危机状态。201</w:t>
      </w:r>
      <w:r>
        <w:rPr>
          <w:rFonts w:hint="eastAsia"/>
        </w:rPr>
        <w:t>5</w:t>
      </w:r>
      <w:r>
        <w:t>年12月，</w:t>
      </w:r>
      <w:r>
        <w:rPr>
          <w:rFonts w:hint="eastAsia" w:ascii="宋体" w:hAnsi="宋体" w:cs="Segoe UI"/>
          <w:color w:val="0F1115"/>
          <w:shd w:val="clear" w:color="auto" w:fill="FFFFFF"/>
        </w:rPr>
        <w:t>川能动力化工和化肥</w:t>
      </w:r>
      <w:r>
        <w:rPr>
          <w:rFonts w:ascii="宋体" w:hAnsi="宋体" w:cs="Segoe UI"/>
          <w:color w:val="0F1115"/>
          <w:shd w:val="clear" w:color="auto" w:fill="FFFFFF"/>
        </w:rPr>
        <w:t>主</w:t>
      </w:r>
      <w:r>
        <w:rPr>
          <w:rFonts w:hint="eastAsia" w:ascii="宋体" w:hAnsi="宋体" w:cs="Segoe UI"/>
          <w:color w:val="0F1115"/>
          <w:shd w:val="clear" w:color="auto" w:fill="FFFFFF"/>
        </w:rPr>
        <w:t>营</w:t>
      </w:r>
      <w:r>
        <w:rPr>
          <w:rFonts w:ascii="宋体" w:hAnsi="宋体" w:cs="Segoe UI"/>
          <w:color w:val="0F1115"/>
          <w:shd w:val="clear" w:color="auto" w:fill="FFFFFF"/>
        </w:rPr>
        <w:t>装置全面停产</w:t>
      </w:r>
      <w:r>
        <w:rPr>
          <w:rFonts w:hint="eastAsia" w:ascii="宋体" w:hAnsi="宋体" w:cs="Segoe UI"/>
          <w:color w:val="0F1115"/>
          <w:shd w:val="clear" w:color="auto" w:fill="FFFFFF"/>
        </w:rPr>
        <w:t>，</w:t>
      </w:r>
      <w:r>
        <w:rPr>
          <w:rFonts w:ascii="Segoe UI" w:hAnsi="Segoe UI" w:cs="Segoe UI"/>
          <w:color w:val="0F1115"/>
          <w:shd w:val="clear" w:color="auto" w:fill="FFFFFF"/>
        </w:rPr>
        <w:t>传统主业已</w:t>
      </w:r>
      <w:bookmarkStart w:id="112" w:name="OLE_LINK198"/>
      <w:r>
        <w:rPr>
          <w:rFonts w:ascii="Segoe UI" w:hAnsi="Segoe UI" w:cs="Segoe UI"/>
          <w:color w:val="0F1115"/>
          <w:shd w:val="clear" w:color="auto" w:fill="FFFFFF"/>
        </w:rPr>
        <w:t>无法运转。</w:t>
      </w:r>
      <w:r>
        <w:t>由于新能源发电行业</w:t>
      </w:r>
      <w:bookmarkEnd w:id="112"/>
      <w:r>
        <w:t>大多有较高的毛利率，在锂</w:t>
      </w:r>
      <w:r>
        <w:rPr>
          <w:rFonts w:hint="eastAsia"/>
        </w:rPr>
        <w:t>电</w:t>
      </w:r>
      <w:r>
        <w:t>产业规模迅速扩大的情况下存在着成长的机会，因此</w:t>
      </w:r>
      <w:r>
        <w:rPr>
          <w:rFonts w:hint="eastAsia"/>
        </w:rPr>
        <w:t>川能动力</w:t>
      </w:r>
      <w:r>
        <w:t>及时做出</w:t>
      </w:r>
      <w:r>
        <w:rPr>
          <w:rFonts w:hint="eastAsia"/>
        </w:rPr>
        <w:t>绿色</w:t>
      </w:r>
      <w:r>
        <w:t>转型的战略选择，即把核心放在了新能源发电及锂电池业务上，以达到对现有低效资产进行替代的目的，并且使企业的整体</w:t>
      </w:r>
      <w:r>
        <w:rPr>
          <w:rFonts w:hint="eastAsia"/>
        </w:rPr>
        <w:t>财务</w:t>
      </w:r>
      <w:r>
        <w:t>绩效朝着更加可持续的方向发展。</w:t>
      </w:r>
    </w:p>
    <w:bookmarkEnd w:id="110"/>
    <w:bookmarkEnd w:id="111"/>
    <w:p w14:paraId="17B6D046">
      <w:pPr>
        <w:pStyle w:val="2"/>
        <w:spacing w:before="312" w:after="312"/>
        <w:rPr>
          <w:rFonts w:hint="eastAsia" w:ascii="宋体" w:hAnsi="宋体" w:cs="Segoe UI"/>
          <w:color w:val="0F1115"/>
          <w:shd w:val="clear" w:color="auto" w:fill="FFFFFF"/>
        </w:rPr>
      </w:pPr>
      <w:bookmarkStart w:id="113" w:name="_Toc8736"/>
      <w:r>
        <w:rPr>
          <w:color w:val="0F1115"/>
          <w:shd w:val="clear" w:color="auto" w:fill="FFFFFF"/>
        </w:rPr>
        <w:t xml:space="preserve">3 </w:t>
      </w:r>
      <w:r>
        <w:rPr>
          <w:rFonts w:hint="eastAsia" w:ascii="宋体" w:hAnsi="宋体" w:cs="Segoe UI"/>
          <w:color w:val="0F1115"/>
          <w:shd w:val="clear" w:color="auto" w:fill="FFFFFF"/>
        </w:rPr>
        <w:t xml:space="preserve"> </w:t>
      </w:r>
      <w:r>
        <w:rPr>
          <w:rFonts w:hint="eastAsia"/>
        </w:rPr>
        <w:t>川能动力绿色转型财务绩效分析与评价</w:t>
      </w:r>
      <w:bookmarkEnd w:id="113"/>
    </w:p>
    <w:p w14:paraId="5B60CB65">
      <w:pPr>
        <w:pStyle w:val="3"/>
        <w:keepNext/>
        <w:keepLines/>
        <w:spacing w:before="312" w:after="156"/>
        <w:rPr>
          <w:rFonts w:hint="default"/>
          <w:shd w:val="clear" w:color="auto" w:fill="FFFFFF"/>
        </w:rPr>
      </w:pPr>
      <w:bookmarkStart w:id="114" w:name="_Toc22682"/>
      <w:r>
        <w:rPr>
          <w:shd w:val="clear" w:color="auto" w:fill="FFFFFF"/>
        </w:rPr>
        <w:t>3.1  财务绩效分析</w:t>
      </w:r>
      <w:bookmarkEnd w:id="114"/>
    </w:p>
    <w:p w14:paraId="2B67C3D9">
      <w:pPr>
        <w:ind w:firstLine="480"/>
      </w:pPr>
      <w:r>
        <w:rPr>
          <w:rFonts w:hint="eastAsia"/>
        </w:rPr>
        <w:t>由于川能动力在2017年绿色转型前一直陷入经营亏损的困境之中，所以本文采用2017-2025年财务数据，从偿债能力、营运能力、盈利能力以及发展能力这四个方面来进行全面</w:t>
      </w:r>
      <w:r>
        <w:rPr>
          <w:rFonts w:hint="eastAsia"/>
          <w:lang w:val="en-US" w:eastAsia="zh-CN"/>
        </w:rPr>
        <w:t>分析</w:t>
      </w:r>
      <w:r>
        <w:rPr>
          <w:rFonts w:hint="eastAsia"/>
        </w:rPr>
        <w:t>。</w:t>
      </w:r>
    </w:p>
    <w:p w14:paraId="46D133B9">
      <w:pPr>
        <w:pStyle w:val="4"/>
        <w:spacing w:before="156" w:after="156"/>
        <w:rPr>
          <w:rFonts w:ascii="Segoe UI" w:hAnsi="Segoe UI" w:cs="Segoe UI"/>
          <w:shd w:val="clear" w:color="auto" w:fill="FFFFFF"/>
        </w:rPr>
      </w:pPr>
      <w:bookmarkStart w:id="115" w:name="_Toc1644"/>
      <w:bookmarkStart w:id="116" w:name="OLE_LINK146"/>
      <w:r>
        <w:rPr>
          <w:shd w:val="clear" w:color="auto" w:fill="FFFFFF"/>
        </w:rPr>
        <w:t>3</w:t>
      </w:r>
      <w:bookmarkStart w:id="117" w:name="OLE_LINK100"/>
      <w:r>
        <w:rPr>
          <w:shd w:val="clear" w:color="auto" w:fill="FFFFFF"/>
        </w:rPr>
        <w:t>.1.1</w:t>
      </w:r>
      <w:r>
        <w:rPr>
          <w:rFonts w:hint="eastAsia" w:ascii="Segoe UI" w:hAnsi="Segoe UI" w:cs="Segoe UI"/>
          <w:shd w:val="clear" w:color="auto" w:fill="FFFFFF"/>
        </w:rPr>
        <w:t xml:space="preserve">  </w:t>
      </w:r>
      <w:r>
        <w:rPr>
          <w:rFonts w:hint="eastAsia"/>
        </w:rPr>
        <w:t>偿债能力分</w:t>
      </w:r>
      <w:bookmarkEnd w:id="117"/>
      <w:r>
        <w:rPr>
          <w:rFonts w:hint="eastAsia"/>
        </w:rPr>
        <w:t>析</w:t>
      </w:r>
      <w:bookmarkEnd w:id="115"/>
      <w:bookmarkStart w:id="320" w:name="_GoBack"/>
      <w:bookmarkEnd w:id="320"/>
    </w:p>
    <w:bookmarkEnd w:id="116"/>
    <w:p w14:paraId="62BA1C84">
      <w:pPr>
        <w:ind w:firstLine="480"/>
      </w:pPr>
      <w:r>
        <w:rPr>
          <w:rFonts w:hint="eastAsia"/>
        </w:rPr>
        <w:t>偿债能力是企业使用目前拥有的资产来清偿债务的能力。本文从长期和短期两个角度，分析川能动力的偿债能力。</w:t>
      </w:r>
    </w:p>
    <w:p w14:paraId="18E4EBC4">
      <w:pPr>
        <w:ind w:firstLine="480"/>
      </w:pPr>
      <w:r>
        <w:rPr>
          <w:rFonts w:hint="eastAsia"/>
        </w:rPr>
        <w:t>（1）长期偿债能力</w:t>
      </w:r>
    </w:p>
    <w:p w14:paraId="213582B1">
      <w:pPr>
        <w:ind w:firstLine="480"/>
      </w:pPr>
      <w:r>
        <w:t>资产负债率</w:t>
      </w:r>
      <w:r>
        <w:rPr>
          <w:rFonts w:hint="eastAsia"/>
        </w:rPr>
        <w:t>是</w:t>
      </w:r>
      <w:r>
        <w:t>评价企业长期偿债能力的主要指标，它反映的是负债在总资产当中所占的比重。资产负债率越低，企业的财务状况就越稳健，风险抵御能力也就越强。</w:t>
      </w:r>
      <w:bookmarkStart w:id="118" w:name="OLE_LINK212"/>
      <w:r>
        <w:rPr>
          <w:rFonts w:hint="eastAsia"/>
        </w:rPr>
        <w:t>我国新能源企业的</w:t>
      </w:r>
      <w:bookmarkEnd w:id="118"/>
      <w:r>
        <w:t>资产负债率一般处在</w:t>
      </w:r>
      <w:r>
        <w:rPr>
          <w:rFonts w:hint="eastAsia"/>
        </w:rPr>
        <w:t>0.4</w:t>
      </w:r>
      <w:r>
        <w:t>到</w:t>
      </w:r>
      <w:r>
        <w:rPr>
          <w:rFonts w:hint="eastAsia"/>
        </w:rPr>
        <w:t>0.6</w:t>
      </w:r>
      <w:r>
        <w:t>之间。</w:t>
      </w:r>
    </w:p>
    <w:p w14:paraId="6F4041E4">
      <w:pPr>
        <w:keepNext/>
        <w:ind w:firstLine="0" w:firstLineChars="0"/>
      </w:pPr>
      <w:r>
        <w:drawing>
          <wp:inline distT="0" distB="0" distL="0" distR="0">
            <wp:extent cx="5259070" cy="1925955"/>
            <wp:effectExtent l="0" t="0" r="17780" b="17145"/>
            <wp:docPr id="88174674" name="图表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2308816">
      <w:pPr>
        <w:pStyle w:val="6"/>
        <w:spacing w:before="156" w:after="156"/>
        <w:ind w:firstLine="422"/>
      </w:pPr>
      <w:bookmarkStart w:id="119" w:name="_Ref229421702"/>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119"/>
      <w:bookmarkStart w:id="120" w:name="_Ref229266363"/>
      <w:r>
        <w:rPr>
          <w:rFonts w:hint="eastAsia"/>
        </w:rPr>
        <w:t xml:space="preserve">  川能动力资产负债率与同行业平均水平对比图</w:t>
      </w:r>
      <w:bookmarkEnd w:id="120"/>
    </w:p>
    <w:p w14:paraId="5CFA29AC">
      <w:pPr>
        <w:keepNext/>
        <w:ind w:firstLine="0" w:firstLineChars="0"/>
      </w:pPr>
      <w:r>
        <w:rPr>
          <w:rFonts w:hint="eastAsia"/>
          <w:sz w:val="21"/>
          <w:szCs w:val="21"/>
        </w:rPr>
        <w:t>数据来源：根据国泰安数据整理</w:t>
      </w:r>
    </w:p>
    <w:p w14:paraId="7B121883">
      <w:pPr>
        <w:ind w:firstLine="480"/>
      </w:pPr>
      <w:bookmarkStart w:id="121" w:name="OLE_LINK27"/>
      <w:r>
        <w:rPr>
          <w:rFonts w:hint="eastAsia"/>
        </w:rPr>
        <w:fldChar w:fldCharType="begin"/>
      </w:r>
      <w:r>
        <w:instrText xml:space="preserve"> REF _Ref229266388 \h  \* MERGEFORMAT</w:instrText>
      </w:r>
      <w:r>
        <w:fldChar w:fldCharType="separate"/>
      </w:r>
      <w:r>
        <w:rPr>
          <w:rFonts w:hint="eastAsia"/>
        </w:rPr>
        <w:fldChar w:fldCharType="end"/>
      </w:r>
      <w:bookmarkEnd w:id="121"/>
      <w:bookmarkStart w:id="122" w:name="OLE_LINK82"/>
      <w:bookmarkStart w:id="123" w:name="OLE_LINK93"/>
      <w:r>
        <w:rPr>
          <w:rFonts w:hint="eastAsia"/>
        </w:rPr>
        <w:t>从</w:t>
      </w:r>
      <w:r>
        <w:fldChar w:fldCharType="begin"/>
      </w:r>
      <w:r>
        <w:instrText xml:space="preserve"> </w:instrText>
      </w:r>
      <w:r>
        <w:rPr>
          <w:rFonts w:hint="eastAsia"/>
        </w:rPr>
        <w:instrText xml:space="preserve">REF _Ref229421702 \h</w:instrText>
      </w:r>
      <w:r>
        <w:instrText xml:space="preserve"> </w:instrText>
      </w:r>
      <w:r>
        <w:fldChar w:fldCharType="separate"/>
      </w:r>
      <w:r>
        <w:rPr>
          <w:rFonts w:hint="eastAsia"/>
        </w:rPr>
        <w:t>图3.</w:t>
      </w:r>
      <w:r>
        <w:t>1</w:t>
      </w:r>
      <w:r>
        <w:fldChar w:fldCharType="end"/>
      </w:r>
      <w:r>
        <w:rPr>
          <w:rFonts w:hint="eastAsia"/>
        </w:rPr>
        <w:fldChar w:fldCharType="begin"/>
      </w:r>
      <w:r>
        <w:rPr>
          <w:rFonts w:hint="eastAsia"/>
        </w:rPr>
        <w:instrText xml:space="preserve"> REF _Ref20477 \h </w:instrText>
      </w:r>
      <w:r>
        <w:fldChar w:fldCharType="separate"/>
      </w:r>
      <w:r>
        <w:rPr>
          <w:rFonts w:hint="eastAsia"/>
        </w:rPr>
        <w:fldChar w:fldCharType="end"/>
      </w:r>
      <w:r>
        <w:rPr>
          <w:rFonts w:hint="eastAsia"/>
        </w:rPr>
        <w:fldChar w:fldCharType="begin"/>
      </w:r>
      <w:r>
        <w:rPr>
          <w:rFonts w:hint="eastAsia"/>
        </w:rPr>
        <w:instrText xml:space="preserve"> REF _Ref20477 \h </w:instrText>
      </w:r>
      <w:r>
        <w:fldChar w:fldCharType="separate"/>
      </w:r>
      <w:r>
        <w:rPr>
          <w:rFonts w:hint="eastAsia"/>
        </w:rPr>
        <w:fldChar w:fldCharType="end"/>
      </w:r>
      <w:r>
        <w:rPr>
          <w:rFonts w:hint="eastAsia"/>
        </w:rPr>
        <w:fldChar w:fldCharType="begin"/>
      </w:r>
      <w:r>
        <w:rPr>
          <w:rFonts w:hint="eastAsia"/>
        </w:rPr>
        <w:instrText xml:space="preserve"> REF _Ref20477 \h </w:instrText>
      </w:r>
      <w:r>
        <w:fldChar w:fldCharType="separate"/>
      </w:r>
      <w:r>
        <w:rPr>
          <w:rFonts w:hint="eastAsia"/>
        </w:rPr>
        <w:fldChar w:fldCharType="end"/>
      </w:r>
      <w:r>
        <w:rPr>
          <w:rFonts w:hint="eastAsia"/>
        </w:rPr>
        <w:fldChar w:fldCharType="begin"/>
      </w:r>
      <w:r>
        <w:rPr>
          <w:rFonts w:hint="eastAsia"/>
        </w:rPr>
        <w:instrText xml:space="preserve"> REF _Ref20477 \h </w:instrText>
      </w:r>
      <w:r>
        <w:fldChar w:fldCharType="separate"/>
      </w:r>
      <w:r>
        <w:rPr>
          <w:rFonts w:hint="eastAsia"/>
        </w:rPr>
        <w:fldChar w:fldCharType="end"/>
      </w:r>
      <w:r>
        <w:rPr>
          <w:rFonts w:hint="eastAsia"/>
        </w:rPr>
        <w:fldChar w:fldCharType="begin"/>
      </w:r>
      <w:r>
        <w:rPr>
          <w:rFonts w:hint="eastAsia"/>
        </w:rPr>
        <w:instrText xml:space="preserve"> REF _Ref20477 \h </w:instrText>
      </w:r>
      <w:r>
        <w:fldChar w:fldCharType="separate"/>
      </w:r>
      <w:r>
        <w:rPr>
          <w:rFonts w:hint="eastAsia"/>
        </w:rPr>
        <w:fldChar w:fldCharType="end"/>
      </w:r>
      <w:r>
        <w:rPr>
          <w:rFonts w:hint="eastAsia"/>
        </w:rPr>
        <w:t>中可以得知，在2017-2021年的这五年时间里，企业的资产负债率由0.46上涨到0.58，这是由于企业进行绿色转型时使用了债务融资方</w:t>
      </w:r>
      <w:bookmarkStart w:id="124" w:name="OLE_LINK202"/>
      <w:r>
        <w:rPr>
          <w:rFonts w:hint="eastAsia"/>
        </w:rPr>
        <w:t>式，用债务来支撑对</w:t>
      </w:r>
      <w:bookmarkStart w:id="125" w:name="OLE_LINK214"/>
      <w:r>
        <w:rPr>
          <w:rFonts w:hint="eastAsia"/>
        </w:rPr>
        <w:t>风电和锂电池</w:t>
      </w:r>
      <w:bookmarkEnd w:id="125"/>
      <w:r>
        <w:rPr>
          <w:rFonts w:hint="eastAsia"/>
        </w:rPr>
        <w:t>领域的并购</w:t>
      </w:r>
      <w:bookmarkEnd w:id="124"/>
      <w:r>
        <w:rPr>
          <w:rFonts w:hint="eastAsia"/>
        </w:rPr>
        <w:t>。尽管资产规模不断增大，但是负债总额的增长速度远高于资产总额，从而导致总负债率不断提高，并且加大了企业的财务杠杆效应。自从2022年重</w:t>
      </w:r>
      <w:bookmarkStart w:id="126" w:name="OLE_LINK236"/>
      <w:r>
        <w:rPr>
          <w:rFonts w:hint="eastAsia"/>
        </w:rPr>
        <w:t>大资产重组推进以及经营现金流好转两方面的因素共同作用后，资产负债率慢慢回到0.50-0.55之间，2025年底达到了53%，比</w:t>
      </w:r>
      <w:bookmarkEnd w:id="126"/>
      <w:r>
        <w:rPr>
          <w:rFonts w:hint="eastAsia"/>
        </w:rPr>
        <w:t>行业的平均水平还要低一些，说明公司长期偿债能力有所改善。</w:t>
      </w:r>
      <w:bookmarkEnd w:id="122"/>
      <w:bookmarkStart w:id="127" w:name="OLE_LINK88"/>
      <w:bookmarkEnd w:id="127"/>
      <w:bookmarkStart w:id="128" w:name="OLE_LINK50"/>
    </w:p>
    <w:bookmarkEnd w:id="123"/>
    <w:bookmarkEnd w:id="128"/>
    <w:p w14:paraId="00434EDB">
      <w:pPr>
        <w:ind w:firstLine="480"/>
      </w:pPr>
      <w:r>
        <w:rPr>
          <w:rFonts w:hint="eastAsia"/>
        </w:rPr>
        <w:t>（2）短期偿债能力</w:t>
      </w:r>
    </w:p>
    <w:p w14:paraId="3134E560">
      <w:pPr>
        <w:ind w:firstLine="480"/>
      </w:pPr>
      <w:r>
        <w:rPr>
          <w:rFonts w:hint="eastAsia"/>
        </w:rPr>
        <w:t>流动比率是反映企业短期偿债能力的重要指标。我国新能源企业的流动比率一般处在1.5-2.0之间。</w:t>
      </w:r>
      <w:bookmarkStart w:id="129" w:name="OLE_LINK89"/>
      <w:bookmarkEnd w:id="129"/>
    </w:p>
    <w:p w14:paraId="55506818">
      <w:pPr>
        <w:keepNext/>
        <w:ind w:firstLine="0" w:firstLineChars="0"/>
      </w:pPr>
      <w:r>
        <w:drawing>
          <wp:inline distT="0" distB="0" distL="0" distR="0">
            <wp:extent cx="5259070" cy="1925955"/>
            <wp:effectExtent l="0" t="0" r="17780" b="17145"/>
            <wp:docPr id="477234550"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B64F3E">
      <w:pPr>
        <w:keepNext/>
        <w:ind w:firstLine="0" w:firstLineChars="0"/>
      </w:pPr>
      <w:r>
        <w:rPr>
          <w:rFonts w:hint="eastAsia"/>
          <w:sz w:val="21"/>
          <w:szCs w:val="21"/>
        </w:rPr>
        <w:t>数据来源：根据国泰安数据整理</w:t>
      </w:r>
    </w:p>
    <w:p w14:paraId="550AADED">
      <w:pPr>
        <w:pStyle w:val="6"/>
        <w:spacing w:before="156" w:after="156"/>
        <w:ind w:firstLine="422"/>
        <w:rPr>
          <w:szCs w:val="21"/>
        </w:rPr>
      </w:pPr>
      <w:bookmarkStart w:id="130" w:name="_Ref24089"/>
      <w:r>
        <w:t>图3.</w:t>
      </w:r>
      <w:r>
        <w:fldChar w:fldCharType="begin"/>
      </w:r>
      <w:r>
        <w:instrText xml:space="preserve"> SEQ 图3. \* ARABIC </w:instrText>
      </w:r>
      <w:r>
        <w:fldChar w:fldCharType="separate"/>
      </w:r>
      <w:r>
        <w:t>2</w:t>
      </w:r>
      <w:r>
        <w:fldChar w:fldCharType="end"/>
      </w:r>
      <w:bookmarkEnd w:id="130"/>
      <w:r>
        <w:rPr>
          <w:rFonts w:hint="eastAsia"/>
        </w:rPr>
        <w:t xml:space="preserve">  川能动力流动比率与同行业平均水平对比图</w:t>
      </w:r>
    </w:p>
    <w:p w14:paraId="15BF43FA">
      <w:pPr>
        <w:ind w:firstLine="480"/>
      </w:pPr>
      <w:bookmarkStart w:id="131" w:name="OLE_LINK6"/>
      <w:bookmarkEnd w:id="131"/>
      <w:r>
        <w:rPr>
          <w:rFonts w:hint="eastAsia"/>
        </w:rPr>
        <w:fldChar w:fldCharType="begin"/>
      </w:r>
      <w:r>
        <w:instrText xml:space="preserve"> REF _Ref229262873 \h  \* MERGEFORMAT</w:instrText>
      </w:r>
      <w:r>
        <w:fldChar w:fldCharType="separate"/>
      </w:r>
      <w:r>
        <w:rPr>
          <w:rFonts w:hint="eastAsia"/>
        </w:rPr>
        <w:fldChar w:fldCharType="end"/>
      </w:r>
      <w:r>
        <w:rPr>
          <w:rFonts w:hint="eastAsia"/>
        </w:rPr>
        <w:fldChar w:fldCharType="begin"/>
      </w:r>
      <w:r>
        <w:instrText xml:space="preserve"> REF _Ref229262873 \h  \* MERGEFORMAT</w:instrText>
      </w:r>
      <w:r>
        <w:fldChar w:fldCharType="separate"/>
      </w:r>
      <w:r>
        <w:rPr>
          <w:rFonts w:hint="eastAsia"/>
        </w:rPr>
        <w:fldChar w:fldCharType="end"/>
      </w:r>
      <w:bookmarkStart w:id="132" w:name="OLE_LINK91"/>
      <w:bookmarkEnd w:id="132"/>
      <w:bookmarkStart w:id="133" w:name="OLE_LINK62"/>
      <w:bookmarkEnd w:id="133"/>
      <w:bookmarkStart w:id="134" w:name="OLE_LINK189"/>
      <w:bookmarkEnd w:id="134"/>
      <w:bookmarkStart w:id="135" w:name="OLE_LINK95"/>
      <w:bookmarkEnd w:id="135"/>
      <w:bookmarkStart w:id="136" w:name="OLE_LINK195"/>
      <w:bookmarkEnd w:id="136"/>
      <w:bookmarkStart w:id="137" w:name="OLE_LINK94"/>
      <w:bookmarkEnd w:id="137"/>
      <w:bookmarkStart w:id="138" w:name="OLE_LINK191"/>
      <w:bookmarkEnd w:id="138"/>
      <w:bookmarkStart w:id="139" w:name="OLE_LINK92"/>
      <w:bookmarkEnd w:id="139"/>
      <w:bookmarkStart w:id="140" w:name="OLE_LINK90"/>
      <w:bookmarkEnd w:id="140"/>
      <w:bookmarkStart w:id="141" w:name="OLE_LINK67"/>
      <w:bookmarkEnd w:id="141"/>
      <w:bookmarkStart w:id="142" w:name="OLE_LINK190"/>
      <w:bookmarkEnd w:id="142"/>
      <w:bookmarkStart w:id="143" w:name="OLE_LINK96"/>
      <w:bookmarkEnd w:id="143"/>
      <w:bookmarkStart w:id="144" w:name="OLE_LINK98"/>
      <w:bookmarkEnd w:id="144"/>
      <w:bookmarkStart w:id="145" w:name="OLE_LINK192"/>
      <w:r>
        <w:rPr>
          <w:rFonts w:hint="eastAsia"/>
        </w:rPr>
        <w:t>从</w:t>
      </w:r>
      <w:r>
        <w:rPr>
          <w:rFonts w:hint="eastAsia"/>
        </w:rPr>
        <w:fldChar w:fldCharType="begin"/>
      </w:r>
      <w:r>
        <w:rPr>
          <w:rFonts w:hint="eastAsia"/>
        </w:rPr>
        <w:instrText xml:space="preserve"> REF _Ref24089 \h </w:instrText>
      </w:r>
      <w:r>
        <w:rPr>
          <w:rFonts w:hint="eastAsia"/>
        </w:rPr>
        <w:fldChar w:fldCharType="separate"/>
      </w:r>
      <w:r>
        <w:t>图3.2</w:t>
      </w:r>
      <w:r>
        <w:rPr>
          <w:rFonts w:hint="eastAsia"/>
        </w:rPr>
        <w:fldChar w:fldCharType="end"/>
      </w:r>
      <w:r>
        <w:rPr>
          <w:rFonts w:hint="eastAsia"/>
        </w:rPr>
        <w:t>中可以得知，川能动力绿色转型阶段流动比率存在着明显的波动。2017-2019年的速动比率为2.41、2.84、3.07，均明显高于</w:t>
      </w:r>
      <w:bookmarkStart w:id="146" w:name="OLE_LINK216"/>
      <w:r>
        <w:rPr>
          <w:rFonts w:hint="eastAsia"/>
        </w:rPr>
        <w:t>同行业平均</w:t>
      </w:r>
      <w:bookmarkEnd w:id="146"/>
      <w:r>
        <w:rPr>
          <w:rFonts w:hint="eastAsia"/>
        </w:rPr>
        <w:t>水平，表明企业短期偿债能力很强。自2020年起至2022年，由于公司大规模资产并购以及项目建设投资，对短期借款和一年内到期非流动负债</w:t>
      </w:r>
      <w:bookmarkStart w:id="147" w:name="OLE_LINK235"/>
      <w:r>
        <w:rPr>
          <w:rFonts w:hint="eastAsia"/>
        </w:rPr>
        <w:t>的依赖程度不断</w:t>
      </w:r>
      <w:bookmarkEnd w:id="147"/>
      <w:r>
        <w:rPr>
          <w:rFonts w:hint="eastAsia"/>
        </w:rPr>
        <w:t>增大，流动负债规模急剧扩大。尽</w:t>
      </w:r>
      <w:bookmarkStart w:id="148" w:name="OLE_LINK215"/>
      <w:r>
        <w:rPr>
          <w:rFonts w:hint="eastAsia"/>
        </w:rPr>
        <w:t>管同期流动资产也有所增加</w:t>
      </w:r>
      <w:bookmarkEnd w:id="148"/>
      <w:r>
        <w:rPr>
          <w:rFonts w:hint="eastAsia"/>
        </w:rPr>
        <w:t>，但是增加的幅度小于流动负债的增加幅度，使得流动比率下降。2023年由于股权融资的支持，企业的货币资金储备得到充实，流动资产的增长速度比流动负债增长速度快，使流动比率慢慢上升到1.58；2024年初通过非公开发行股票筹集的资金又提高了企业的财务稳定性和货币资金的存量。2025年随着李家沟锂矿、德阿锂业等重点项目的投产，经营活动现金流量大幅增加，流动比率上升至2.61。</w:t>
      </w:r>
      <w:bookmarkEnd w:id="145"/>
    </w:p>
    <w:p w14:paraId="659F905B">
      <w:pPr>
        <w:pStyle w:val="4"/>
        <w:spacing w:before="156" w:after="156"/>
      </w:pPr>
      <w:bookmarkStart w:id="149" w:name="_Toc15075"/>
      <w:r>
        <w:rPr>
          <w:shd w:val="clear" w:color="auto" w:fill="FFFFFF"/>
        </w:rPr>
        <w:t>3.1.2</w:t>
      </w:r>
      <w:r>
        <w:rPr>
          <w:rFonts w:hint="eastAsia" w:ascii="Segoe UI" w:hAnsi="Segoe UI" w:cs="Segoe UI"/>
          <w:shd w:val="clear" w:color="auto" w:fill="FFFFFF"/>
        </w:rPr>
        <w:t xml:space="preserve">  </w:t>
      </w:r>
      <w:r>
        <w:rPr>
          <w:rFonts w:hint="eastAsia"/>
        </w:rPr>
        <w:t>营运能力分析</w:t>
      </w:r>
      <w:bookmarkEnd w:id="149"/>
    </w:p>
    <w:p w14:paraId="3571D84A">
      <w:pPr>
        <w:ind w:firstLine="480"/>
      </w:pPr>
      <w:bookmarkStart w:id="150" w:name="OLE_LINK237"/>
      <w:r>
        <w:rPr>
          <w:rFonts w:hint="eastAsia"/>
        </w:rPr>
        <w:t>营运能力是指企业通过对资源的合理利用从而获得经济效益的能力。一般来说，企业的营运能力越强，意味着其资产转化为收入的速度越快，资金使用效率越高，市场竞争能力越强。本文通过应收账款周转率</w:t>
      </w:r>
      <w:bookmarkEnd w:id="150"/>
      <w:r>
        <w:rPr>
          <w:rFonts w:hint="eastAsia"/>
        </w:rPr>
        <w:t>和总资产周转率来分析川能动力的营运能力。</w:t>
      </w:r>
    </w:p>
    <w:p w14:paraId="6B835191">
      <w:pPr>
        <w:ind w:firstLine="480"/>
      </w:pPr>
      <w:r>
        <w:rPr>
          <w:rFonts w:hint="eastAsia"/>
        </w:rPr>
        <w:t>（1）应收账款周转率</w:t>
      </w:r>
    </w:p>
    <w:p w14:paraId="27DD1AD8">
      <w:pPr>
        <w:ind w:firstLine="480"/>
      </w:pPr>
      <w:r>
        <w:rPr>
          <w:rFonts w:hint="eastAsia"/>
        </w:rPr>
        <w:t>应收账款周转率是用来衡量企业应收款项回收速度</w:t>
      </w:r>
      <w:bookmarkStart w:id="151" w:name="OLE_LINK238"/>
      <w:r>
        <w:rPr>
          <w:rFonts w:hint="eastAsia"/>
        </w:rPr>
        <w:t>和运</w:t>
      </w:r>
      <w:bookmarkEnd w:id="151"/>
      <w:r>
        <w:rPr>
          <w:rFonts w:hint="eastAsia"/>
        </w:rPr>
        <w:t>营效率的指标，数值越大，说明企业的资金回笼越快，运营效率越高。</w:t>
      </w:r>
    </w:p>
    <w:p w14:paraId="3748D2BA">
      <w:pPr>
        <w:ind w:firstLine="480"/>
        <w:rPr>
          <w:rFonts w:hint="eastAsia"/>
        </w:rPr>
      </w:pPr>
      <w:r>
        <w:rPr>
          <w:rFonts w:hint="eastAsia"/>
        </w:rPr>
        <w:t>从</w:t>
      </w:r>
      <w:r>
        <w:rPr>
          <w:rFonts w:hint="eastAsia"/>
        </w:rPr>
        <w:fldChar w:fldCharType="begin"/>
      </w:r>
      <w:r>
        <w:rPr>
          <w:rFonts w:hint="eastAsia"/>
        </w:rPr>
        <w:instrText xml:space="preserve"> REF _Ref27681 \h </w:instrText>
      </w:r>
      <w:r>
        <w:rPr>
          <w:rFonts w:hint="eastAsia"/>
        </w:rPr>
        <w:fldChar w:fldCharType="separate"/>
      </w:r>
      <w:r>
        <w:t>图3.3</w:t>
      </w:r>
      <w:r>
        <w:rPr>
          <w:rFonts w:hint="eastAsia"/>
        </w:rPr>
        <w:fldChar w:fldCharType="end"/>
      </w:r>
      <w:r>
        <w:rPr>
          <w:rFonts w:hint="eastAsia"/>
        </w:rPr>
        <w:t>可知，</w:t>
      </w:r>
      <w:r>
        <w:rPr>
          <w:rFonts w:ascii="Segoe UI" w:hAnsi="Segoe UI" w:cs="Segoe UI"/>
          <w:color w:val="0F1115"/>
          <w:shd w:val="clear" w:color="auto" w:fill="FFFFFF"/>
        </w:rPr>
        <w:t>川</w:t>
      </w:r>
      <w:bookmarkStart w:id="152" w:name="OLE_LINK97"/>
      <w:r>
        <w:rPr>
          <w:rFonts w:ascii="Segoe UI" w:hAnsi="Segoe UI" w:cs="Segoe UI"/>
          <w:color w:val="0F1115"/>
          <w:shd w:val="clear" w:color="auto" w:fill="FFFFFF"/>
        </w:rPr>
        <w:t>能动力的应收账款周</w:t>
      </w:r>
      <w:bookmarkEnd w:id="152"/>
      <w:r>
        <w:rPr>
          <w:rFonts w:ascii="Segoe UI" w:hAnsi="Segoe UI" w:cs="Segoe UI"/>
          <w:color w:val="0F1115"/>
          <w:shd w:val="clear" w:color="auto" w:fill="FFFFFF"/>
        </w:rPr>
        <w:t>转率在</w:t>
      </w:r>
      <w:r>
        <w:t>2017-2025</w:t>
      </w:r>
      <w:r>
        <w:rPr>
          <w:rFonts w:ascii="Segoe UI" w:hAnsi="Segoe UI" w:cs="Segoe UI"/>
          <w:color w:val="0F1115"/>
          <w:shd w:val="clear" w:color="auto" w:fill="FFFFFF"/>
        </w:rPr>
        <w:t>年间显著低于行业平均水平。</w:t>
      </w:r>
      <w:r>
        <w:rPr>
          <w:rFonts w:hint="eastAsia"/>
        </w:rPr>
        <w:t>2017</w:t>
      </w:r>
      <w:r>
        <w:rPr>
          <w:rFonts w:hint="eastAsia" w:ascii="Segoe UI" w:hAnsi="Segoe UI" w:cs="Segoe UI"/>
          <w:color w:val="0F1115"/>
          <w:shd w:val="clear" w:color="auto" w:fill="FFFFFF"/>
        </w:rPr>
        <w:t>年公司的应收账款周转率为</w:t>
      </w:r>
      <w:r>
        <w:rPr>
          <w:rFonts w:hint="eastAsia"/>
        </w:rPr>
        <w:t>6.80</w:t>
      </w:r>
      <w:r>
        <w:rPr>
          <w:rFonts w:hint="eastAsia" w:ascii="Segoe UI" w:hAnsi="Segoe UI" w:cs="Segoe UI"/>
          <w:color w:val="0F1115"/>
          <w:shd w:val="clear" w:color="auto" w:fill="FFFFFF"/>
        </w:rPr>
        <w:t>次，主要与</w:t>
      </w:r>
      <w:bookmarkStart w:id="153" w:name="OLE_LINK203"/>
      <w:r>
        <w:rPr>
          <w:rFonts w:hint="eastAsia" w:ascii="Segoe UI" w:hAnsi="Segoe UI" w:cs="Segoe UI"/>
          <w:color w:val="0F1115"/>
          <w:shd w:val="clear" w:color="auto" w:fill="FFFFFF"/>
        </w:rPr>
        <w:t>贸易业务部分客户延期付款有关。</w:t>
      </w:r>
      <w:r>
        <w:rPr>
          <w:rFonts w:hint="eastAsia"/>
        </w:rPr>
        <w:t>2018</w:t>
      </w:r>
      <w:r>
        <w:rPr>
          <w:rFonts w:hint="eastAsia" w:ascii="Segoe UI" w:hAnsi="Segoe UI" w:cs="Segoe UI"/>
          <w:color w:val="0F1115"/>
          <w:shd w:val="clear" w:color="auto" w:fill="FFFFFF"/>
        </w:rPr>
        <w:t>年应收账款周转率降至</w:t>
      </w:r>
      <w:r>
        <w:rPr>
          <w:rFonts w:hint="eastAsia"/>
        </w:rPr>
        <w:t>3.49</w:t>
      </w:r>
      <w:r>
        <w:rPr>
          <w:rFonts w:hint="eastAsia" w:ascii="Segoe UI" w:hAnsi="Segoe UI" w:cs="Segoe UI"/>
          <w:color w:val="0F1115"/>
          <w:shd w:val="clear" w:color="auto" w:fill="FFFFFF"/>
        </w:rPr>
        <w:t>次，主要是因为公司的多家</w:t>
      </w:r>
      <w:bookmarkEnd w:id="153"/>
      <w:r>
        <w:rPr>
          <w:rFonts w:hint="eastAsia" w:ascii="Segoe UI" w:hAnsi="Segoe UI" w:cs="Segoe UI"/>
          <w:color w:val="0F1115"/>
          <w:shd w:val="clear" w:color="auto" w:fill="FFFFFF"/>
        </w:rPr>
        <w:t>客户出现失信，导致部分大额应收账款因逾期无法收回。</w:t>
      </w:r>
      <w:r>
        <w:rPr>
          <w:rFonts w:hint="eastAsia"/>
        </w:rPr>
        <w:t>2019-2025</w:t>
      </w:r>
      <w:r>
        <w:rPr>
          <w:rFonts w:hint="eastAsia" w:ascii="Segoe UI" w:hAnsi="Segoe UI" w:cs="Segoe UI"/>
          <w:color w:val="0F1115"/>
          <w:shd w:val="clear" w:color="auto" w:fill="FFFFFF"/>
        </w:rPr>
        <w:t>年应收账款周转率在</w:t>
      </w:r>
      <w:r>
        <w:rPr>
          <w:rFonts w:hint="eastAsia"/>
        </w:rPr>
        <w:t>1.30-2.19</w:t>
      </w:r>
      <w:r>
        <w:rPr>
          <w:rFonts w:hint="eastAsia" w:ascii="Segoe UI" w:hAnsi="Segoe UI" w:cs="Segoe UI"/>
          <w:color w:val="0F1115"/>
          <w:shd w:val="clear" w:color="auto" w:fill="FFFFFF"/>
        </w:rPr>
        <w:t>次较低区间波动，是因为</w:t>
      </w:r>
      <w:r>
        <w:rPr>
          <w:rFonts w:hint="eastAsia"/>
        </w:rPr>
        <w:t>2019</w:t>
      </w:r>
      <w:r>
        <w:rPr>
          <w:rFonts w:hint="eastAsia" w:ascii="Segoe UI" w:hAnsi="Segoe UI" w:cs="Segoe UI"/>
          <w:color w:val="0F1115"/>
          <w:shd w:val="clear" w:color="auto" w:fill="FFFFFF"/>
        </w:rPr>
        <w:t>年起，公司新能源综合服务业务收入占比较大，该业务主要服务于新能源发电项目的施工单位及业主，业务结算周期较长；</w:t>
      </w:r>
      <w:r>
        <w:rPr>
          <w:rFonts w:hint="eastAsia"/>
        </w:rPr>
        <w:t>2020</w:t>
      </w:r>
      <w:r>
        <w:rPr>
          <w:rFonts w:hint="eastAsia" w:ascii="Segoe UI" w:hAnsi="Segoe UI" w:cs="Segoe UI"/>
          <w:color w:val="0F1115"/>
          <w:shd w:val="clear" w:color="auto" w:fill="FFFFFF"/>
        </w:rPr>
        <w:t>年以后，公司新增</w:t>
      </w:r>
      <w:bookmarkStart w:id="154" w:name="OLE_LINK39"/>
      <w:r>
        <w:rPr>
          <w:rFonts w:hint="eastAsia" w:ascii="Segoe UI" w:hAnsi="Segoe UI" w:cs="Segoe UI"/>
          <w:color w:val="0F1115"/>
          <w:shd w:val="clear" w:color="auto" w:fill="FFFFFF"/>
        </w:rPr>
        <w:t>环卫服务和垃圾发电业务，主要客户为地方政府，结算需经过预算审批、审计、财政拨款等多个环节，回款周期同样较长</w:t>
      </w:r>
      <w:bookmarkEnd w:id="154"/>
      <w:r>
        <w:rPr>
          <w:rFonts w:hint="eastAsia" w:ascii="Segoe UI" w:hAnsi="Segoe UI" w:cs="Segoe UI"/>
          <w:color w:val="0F1115"/>
          <w:shd w:val="clear" w:color="auto" w:fill="FFFFFF"/>
        </w:rPr>
        <w:t>，从而影响了应收账款周转效率。</w:t>
      </w:r>
    </w:p>
    <w:p w14:paraId="685B8AFC">
      <w:pPr>
        <w:keepNext/>
        <w:ind w:firstLine="0" w:firstLineChars="0"/>
      </w:pPr>
      <w:r>
        <w:drawing>
          <wp:inline distT="0" distB="0" distL="0" distR="0">
            <wp:extent cx="5259070" cy="1925955"/>
            <wp:effectExtent l="0" t="0" r="17780" b="17145"/>
            <wp:docPr id="1300596814"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EFE06F">
      <w:pPr>
        <w:keepNext/>
        <w:ind w:firstLine="0" w:firstLineChars="0"/>
      </w:pPr>
      <w:r>
        <w:rPr>
          <w:rFonts w:hint="eastAsia"/>
          <w:sz w:val="21"/>
          <w:szCs w:val="21"/>
        </w:rPr>
        <w:t>数据来源：根据国泰安数据整理</w:t>
      </w:r>
    </w:p>
    <w:p w14:paraId="7F81B19A">
      <w:pPr>
        <w:pStyle w:val="6"/>
        <w:spacing w:before="156" w:after="156"/>
        <w:ind w:firstLine="422"/>
        <w:rPr>
          <w:szCs w:val="21"/>
        </w:rPr>
      </w:pPr>
      <w:bookmarkStart w:id="155" w:name="_Ref27681"/>
      <w:r>
        <w:t>图3.</w:t>
      </w:r>
      <w:r>
        <w:fldChar w:fldCharType="begin"/>
      </w:r>
      <w:r>
        <w:instrText xml:space="preserve"> SEQ 图3. \* ARABIC </w:instrText>
      </w:r>
      <w:r>
        <w:fldChar w:fldCharType="separate"/>
      </w:r>
      <w:r>
        <w:t>3</w:t>
      </w:r>
      <w:r>
        <w:fldChar w:fldCharType="end"/>
      </w:r>
      <w:bookmarkEnd w:id="155"/>
      <w:bookmarkStart w:id="156" w:name="OLE_LINK7"/>
      <w:r>
        <w:rPr>
          <w:rFonts w:hint="eastAsia"/>
        </w:rPr>
        <w:t xml:space="preserve">  川能动力应收账款周转率与同行业平均水平对比图</w:t>
      </w:r>
      <w:bookmarkEnd w:id="156"/>
    </w:p>
    <w:p w14:paraId="3B707A1B">
      <w:pPr>
        <w:ind w:firstLine="480"/>
        <w:rPr>
          <w:rFonts w:ascii="Segoe UI" w:hAnsi="Segoe UI" w:cs="Segoe UI"/>
          <w:color w:val="0F1115"/>
          <w:shd w:val="clear" w:color="auto" w:fill="FFFFFF"/>
        </w:rPr>
      </w:pPr>
      <w:bookmarkStart w:id="157" w:name="OLE_LINK55"/>
      <w:r>
        <w:rPr>
          <w:rFonts w:hint="eastAsia" w:ascii="Segoe UI" w:hAnsi="Segoe UI" w:cs="Segoe UI"/>
          <w:color w:val="0F1115"/>
          <w:shd w:val="clear" w:color="auto" w:fill="FFFFFF"/>
        </w:rPr>
        <w:t>（</w:t>
      </w:r>
      <w:r>
        <w:rPr>
          <w:color w:val="0F1115"/>
          <w:shd w:val="clear" w:color="auto" w:fill="FFFFFF"/>
        </w:rPr>
        <w:t>2</w:t>
      </w:r>
      <w:r>
        <w:rPr>
          <w:rFonts w:hint="eastAsia" w:ascii="Segoe UI" w:hAnsi="Segoe UI" w:cs="Segoe UI"/>
          <w:color w:val="0F1115"/>
          <w:shd w:val="clear" w:color="auto" w:fill="FFFFFF"/>
        </w:rPr>
        <w:t>）总资产周转率</w:t>
      </w:r>
    </w:p>
    <w:p w14:paraId="650924FD">
      <w:pPr>
        <w:ind w:firstLine="480"/>
        <w:rPr>
          <w:rFonts w:ascii="Segoe UI" w:hAnsi="Segoe UI" w:cs="Segoe UI"/>
          <w:color w:val="0F1115"/>
          <w:shd w:val="clear" w:color="auto" w:fill="FFFFFF"/>
        </w:rPr>
      </w:pPr>
      <w:r>
        <w:rPr>
          <w:rFonts w:hint="eastAsia" w:ascii="Segoe UI" w:hAnsi="Segoe UI" w:cs="Segoe UI"/>
          <w:color w:val="0F1115"/>
          <w:shd w:val="clear" w:color="auto" w:fill="FFFFFF"/>
        </w:rPr>
        <w:t>总资产周转率越大，说明资产运转效率越高，资源使用更充分。</w:t>
      </w:r>
    </w:p>
    <w:bookmarkEnd w:id="157"/>
    <w:p w14:paraId="2ADCED2E">
      <w:pPr>
        <w:keepNext/>
        <w:ind w:firstLine="0" w:firstLineChars="0"/>
        <w:rPr>
          <w:rFonts w:ascii="Segoe UI" w:hAnsi="Segoe UI" w:cs="Segoe UI"/>
          <w:color w:val="0F1115"/>
          <w:shd w:val="clear" w:color="auto" w:fill="FFFFFF"/>
        </w:rPr>
      </w:pPr>
      <w:r>
        <w:rPr>
          <w:rFonts w:ascii="Segoe UI" w:hAnsi="Segoe UI" w:cs="Segoe UI"/>
          <w:color w:val="0F1115"/>
          <w:shd w:val="clear" w:color="auto" w:fill="FFFFFF"/>
        </w:rPr>
        <w:drawing>
          <wp:inline distT="0" distB="0" distL="0" distR="0">
            <wp:extent cx="5259070" cy="1925955"/>
            <wp:effectExtent l="0" t="0" r="17780" b="17145"/>
            <wp:docPr id="187046623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883CD6E">
      <w:pPr>
        <w:keepNext/>
        <w:widowControl/>
        <w:shd w:val="clear" w:color="auto" w:fill="FFFFFF"/>
        <w:spacing w:line="240" w:lineRule="auto"/>
        <w:ind w:firstLine="0" w:firstLineChars="0"/>
        <w:rPr>
          <w:rFonts w:ascii="Segoe UI" w:hAnsi="Segoe UI" w:cs="Segoe UI"/>
          <w:color w:val="0F1115"/>
          <w:shd w:val="clear" w:color="auto" w:fill="FFFFFF"/>
        </w:rPr>
      </w:pPr>
      <w:r>
        <w:rPr>
          <w:rFonts w:hint="eastAsia"/>
          <w:sz w:val="21"/>
          <w:szCs w:val="21"/>
        </w:rPr>
        <w:t>数据来源：根据国泰安数据整理</w:t>
      </w:r>
    </w:p>
    <w:p w14:paraId="736CFF5A">
      <w:pPr>
        <w:pStyle w:val="6"/>
        <w:spacing w:before="156" w:after="156"/>
        <w:ind w:firstLine="422"/>
        <w:rPr>
          <w:rFonts w:ascii="Segoe UI" w:hAnsi="Segoe UI" w:cs="Segoe UI"/>
          <w:color w:val="0F1115"/>
          <w:shd w:val="clear" w:color="auto" w:fill="FFFFFF"/>
        </w:rPr>
      </w:pPr>
      <w:bookmarkStart w:id="158" w:name="_Ref31704"/>
      <w:r>
        <w:t>图3.</w:t>
      </w:r>
      <w:r>
        <w:fldChar w:fldCharType="begin"/>
      </w:r>
      <w:r>
        <w:instrText xml:space="preserve"> SEQ 图3. \* ARABIC </w:instrText>
      </w:r>
      <w:r>
        <w:fldChar w:fldCharType="separate"/>
      </w:r>
      <w:r>
        <w:t>4</w:t>
      </w:r>
      <w:r>
        <w:fldChar w:fldCharType="end"/>
      </w:r>
      <w:bookmarkEnd w:id="158"/>
      <w:bookmarkStart w:id="159" w:name="OLE_LINK44"/>
      <w:r>
        <w:rPr>
          <w:rFonts w:hint="eastAsia"/>
        </w:rPr>
        <w:t xml:space="preserve">  川能动力总资产周转率与同行业平均水平对比图</w:t>
      </w:r>
      <w:bookmarkEnd w:id="159"/>
    </w:p>
    <w:p w14:paraId="378D0C6B">
      <w:pPr>
        <w:ind w:firstLine="480"/>
      </w:pPr>
      <w:bookmarkStart w:id="160" w:name="OLE_LINK5"/>
      <w:r>
        <w:rPr>
          <w:rFonts w:hint="eastAsia"/>
        </w:rPr>
        <w:t>由</w:t>
      </w:r>
      <w:r>
        <w:fldChar w:fldCharType="begin"/>
      </w:r>
      <w:r>
        <w:instrText xml:space="preserve"> </w:instrText>
      </w:r>
      <w:r>
        <w:rPr>
          <w:rFonts w:hint="eastAsia"/>
        </w:rPr>
        <w:instrText xml:space="preserve">REF _Ref229262900 \h</w:instrText>
      </w:r>
      <w:r>
        <w:instrText xml:space="preserve"> </w:instrText>
      </w:r>
      <w:r>
        <w:fldChar w:fldCharType="separate"/>
      </w:r>
      <w:r>
        <w:fldChar w:fldCharType="begin"/>
      </w:r>
      <w:r>
        <w:instrText xml:space="preserve"> REF _Ref31704 \h </w:instrText>
      </w:r>
      <w:r>
        <w:fldChar w:fldCharType="separate"/>
      </w:r>
      <w:r>
        <w:t>图3.4</w:t>
      </w:r>
      <w:r>
        <w:fldChar w:fldCharType="end"/>
      </w:r>
      <w:r>
        <w:fldChar w:fldCharType="end"/>
      </w:r>
      <w:r>
        <w:rPr>
          <w:rFonts w:hint="eastAsia"/>
        </w:rPr>
        <w:t>可知，</w:t>
      </w:r>
      <w:bookmarkStart w:id="161" w:name="OLE_LINK101"/>
      <w:r>
        <w:rPr>
          <w:rFonts w:ascii="Segoe UI" w:hAnsi="Segoe UI" w:cs="Segoe UI"/>
          <w:color w:val="0F1115"/>
          <w:shd w:val="clear" w:color="auto" w:fill="FFFFFF"/>
        </w:rPr>
        <w:t>川能动力总资产周转率从</w:t>
      </w:r>
      <w:r>
        <w:t>2017</w:t>
      </w:r>
      <w:r>
        <w:rPr>
          <w:rFonts w:ascii="Segoe UI" w:hAnsi="Segoe UI" w:cs="Segoe UI"/>
          <w:color w:val="0F1115"/>
          <w:shd w:val="clear" w:color="auto" w:fill="FFFFFF"/>
        </w:rPr>
        <w:t>年的</w:t>
      </w:r>
      <w:r>
        <w:t>1.34</w:t>
      </w:r>
      <w:r>
        <w:rPr>
          <w:rFonts w:ascii="Segoe UI" w:hAnsi="Segoe UI" w:cs="Segoe UI"/>
          <w:color w:val="0F1115"/>
          <w:shd w:val="clear" w:color="auto" w:fill="FFFFFF"/>
        </w:rPr>
        <w:t>次下降至</w:t>
      </w:r>
      <w:r>
        <w:t>2025</w:t>
      </w:r>
      <w:r>
        <w:rPr>
          <w:rFonts w:ascii="Segoe UI" w:hAnsi="Segoe UI" w:cs="Segoe UI"/>
          <w:color w:val="0F1115"/>
          <w:shd w:val="clear" w:color="auto" w:fill="FFFFFF"/>
        </w:rPr>
        <w:t>年的</w:t>
      </w:r>
      <w:r>
        <w:t>0.14</w:t>
      </w:r>
      <w:r>
        <w:rPr>
          <w:rFonts w:ascii="Segoe UI" w:hAnsi="Segoe UI" w:cs="Segoe UI"/>
          <w:color w:val="0F1115"/>
          <w:shd w:val="clear" w:color="auto" w:fill="FFFFFF"/>
        </w:rPr>
        <w:t>次，</w:t>
      </w:r>
      <w:r>
        <w:t>2019</w:t>
      </w:r>
      <w:r>
        <w:rPr>
          <w:rFonts w:ascii="Segoe UI" w:hAnsi="Segoe UI" w:cs="Segoe UI"/>
          <w:color w:val="0F1115"/>
          <w:shd w:val="clear" w:color="auto" w:fill="FFFFFF"/>
        </w:rPr>
        <w:t>年开始持续低于行业平均水平。</w:t>
      </w:r>
      <w:r>
        <w:rPr>
          <w:rFonts w:hint="eastAsia" w:ascii="Segoe UI" w:hAnsi="Segoe UI" w:cs="Segoe UI"/>
          <w:color w:val="0F1115"/>
          <w:shd w:val="clear" w:color="auto" w:fill="FFFFFF"/>
        </w:rPr>
        <w:t>主要是因为</w:t>
      </w:r>
      <w:r>
        <w:rPr>
          <w:rFonts w:ascii="Segoe UI" w:hAnsi="Segoe UI" w:cs="Segoe UI"/>
          <w:color w:val="0F1115"/>
          <w:shd w:val="clear" w:color="auto" w:fill="FFFFFF"/>
        </w:rPr>
        <w:t>公司绿色转型后大量资金投入风电、光伏、垃圾发电和锂矿采选等重资产项目，总资产从</w:t>
      </w:r>
      <w:r>
        <w:t>2017</w:t>
      </w:r>
      <w:r>
        <w:rPr>
          <w:rFonts w:ascii="Segoe UI" w:hAnsi="Segoe UI" w:cs="Segoe UI"/>
          <w:color w:val="0F1115"/>
          <w:shd w:val="clear" w:color="auto" w:fill="FFFFFF"/>
        </w:rPr>
        <w:t>年的约</w:t>
      </w:r>
      <w:r>
        <w:t>68</w:t>
      </w:r>
      <w:r>
        <w:rPr>
          <w:rFonts w:ascii="Segoe UI" w:hAnsi="Segoe UI" w:cs="Segoe UI"/>
          <w:color w:val="0F1115"/>
          <w:shd w:val="clear" w:color="auto" w:fill="FFFFFF"/>
        </w:rPr>
        <w:t>亿元增至</w:t>
      </w:r>
      <w:r>
        <w:t>2025</w:t>
      </w:r>
      <w:r>
        <w:rPr>
          <w:rFonts w:ascii="Segoe UI" w:hAnsi="Segoe UI" w:cs="Segoe UI"/>
          <w:color w:val="0F1115"/>
          <w:shd w:val="clear" w:color="auto" w:fill="FFFFFF"/>
        </w:rPr>
        <w:t>年的约</w:t>
      </w:r>
      <w:r>
        <w:t>279</w:t>
      </w:r>
      <w:r>
        <w:rPr>
          <w:rFonts w:ascii="Segoe UI" w:hAnsi="Segoe UI" w:cs="Segoe UI"/>
          <w:color w:val="0F1115"/>
          <w:shd w:val="clear" w:color="auto" w:fill="FFFFFF"/>
        </w:rPr>
        <w:t>亿元，其中固定资产和无形资产占比大幅上升</w:t>
      </w:r>
      <w:r>
        <w:rPr>
          <w:rFonts w:hint="eastAsia" w:ascii="Segoe UI" w:hAnsi="Segoe UI" w:cs="Segoe UI"/>
          <w:color w:val="0F1115"/>
          <w:shd w:val="clear" w:color="auto" w:fill="FFFFFF"/>
        </w:rPr>
        <w:t>，</w:t>
      </w:r>
      <w:r>
        <w:rPr>
          <w:rFonts w:ascii="Segoe UI" w:hAnsi="Segoe UI" w:cs="Segoe UI"/>
          <w:color w:val="0F1115"/>
          <w:shd w:val="clear" w:color="auto" w:fill="FFFFFF"/>
        </w:rPr>
        <w:t>但营业收入却从</w:t>
      </w:r>
      <w:r>
        <w:t>65.09</w:t>
      </w:r>
      <w:r>
        <w:rPr>
          <w:rFonts w:ascii="Segoe UI" w:hAnsi="Segoe UI" w:cs="Segoe UI"/>
          <w:color w:val="0F1115"/>
          <w:shd w:val="clear" w:color="auto" w:fill="FFFFFF"/>
        </w:rPr>
        <w:t>亿元降至</w:t>
      </w:r>
      <w:r>
        <w:t>3</w:t>
      </w:r>
      <w:r>
        <w:rPr>
          <w:rFonts w:hint="eastAsia"/>
        </w:rPr>
        <w:t>6</w:t>
      </w:r>
      <w:r>
        <w:rPr>
          <w:rFonts w:ascii="Segoe UI" w:hAnsi="Segoe UI" w:cs="Segoe UI"/>
          <w:color w:val="0F1115"/>
          <w:shd w:val="clear" w:color="auto" w:fill="FFFFFF"/>
        </w:rPr>
        <w:t>亿元，导致总资产周转效率持续降低。</w:t>
      </w:r>
      <w:bookmarkEnd w:id="161"/>
    </w:p>
    <w:bookmarkEnd w:id="160"/>
    <w:p w14:paraId="39222DED">
      <w:pPr>
        <w:pStyle w:val="4"/>
        <w:spacing w:before="156" w:after="156"/>
        <w:rPr>
          <w:rFonts w:ascii="Segoe UI" w:hAnsi="Segoe UI" w:cs="Segoe UI"/>
          <w:shd w:val="clear" w:color="auto" w:fill="FFFFFF"/>
        </w:rPr>
      </w:pPr>
      <w:bookmarkStart w:id="162" w:name="_Toc3748"/>
      <w:r>
        <w:rPr>
          <w:shd w:val="clear" w:color="auto" w:fill="FFFFFF"/>
        </w:rPr>
        <w:t>3.1.3</w:t>
      </w:r>
      <w:r>
        <w:rPr>
          <w:rFonts w:hint="eastAsia" w:ascii="Segoe UI" w:hAnsi="Segoe UI" w:cs="Segoe UI"/>
          <w:shd w:val="clear" w:color="auto" w:fill="FFFFFF"/>
        </w:rPr>
        <w:t xml:space="preserve">  </w:t>
      </w:r>
      <w:r>
        <w:rPr>
          <w:rFonts w:hint="eastAsia"/>
        </w:rPr>
        <w:t>盈利能力分析</w:t>
      </w:r>
      <w:bookmarkEnd w:id="162"/>
    </w:p>
    <w:p w14:paraId="6F48BAC1">
      <w:pPr>
        <w:ind w:firstLine="480"/>
      </w:pPr>
      <w:bookmarkStart w:id="163" w:name="OLE_LINK104"/>
      <w:r>
        <w:rPr>
          <w:rFonts w:hint="eastAsia"/>
        </w:rPr>
        <w:t>盈利能力是指企业通过经营活动获取利润的能力，本文通过营业毛利率和净资产收益率来分析川能动力的盈利能力。</w:t>
      </w:r>
    </w:p>
    <w:bookmarkEnd w:id="163"/>
    <w:p w14:paraId="54318043">
      <w:pPr>
        <w:numPr>
          <w:ilvl w:val="0"/>
          <w:numId w:val="1"/>
        </w:numPr>
        <w:ind w:firstLine="480" w:firstLineChars="0"/>
      </w:pPr>
      <w:bookmarkStart w:id="164" w:name="OLE_LINK43"/>
      <w:bookmarkEnd w:id="164"/>
      <w:r>
        <w:rPr>
          <w:rFonts w:hint="eastAsia"/>
        </w:rPr>
        <w:t>营业毛利率</w:t>
      </w:r>
    </w:p>
    <w:p w14:paraId="0A1277D0">
      <w:pPr>
        <w:ind w:firstLine="480"/>
      </w:pPr>
      <w:r>
        <w:t>营业毛利率反</w:t>
      </w:r>
      <w:bookmarkStart w:id="165" w:name="OLE_LINK239"/>
      <w:r>
        <w:t>映企业主营业务的初</w:t>
      </w:r>
      <w:bookmarkEnd w:id="165"/>
      <w:r>
        <w:t>始盈利空间，其数值越高说明产品附加值越大。</w:t>
      </w:r>
    </w:p>
    <w:p w14:paraId="018B2881">
      <w:pPr>
        <w:keepNext/>
        <w:ind w:firstLine="0" w:firstLineChars="0"/>
      </w:pPr>
      <w:r>
        <w:rPr>
          <w:rFonts w:hint="eastAsia"/>
        </w:rPr>
        <w:drawing>
          <wp:inline distT="0" distB="0" distL="0" distR="0">
            <wp:extent cx="5259070" cy="1925955"/>
            <wp:effectExtent l="0" t="0" r="17780" b="17145"/>
            <wp:docPr id="208461936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9D8A58">
      <w:pPr>
        <w:keepNext/>
        <w:widowControl/>
        <w:shd w:val="clear" w:color="auto" w:fill="FFFFFF"/>
        <w:spacing w:line="240" w:lineRule="auto"/>
        <w:ind w:firstLine="0" w:firstLineChars="0"/>
      </w:pPr>
      <w:bookmarkStart w:id="166" w:name="OLE_LINK46"/>
      <w:r>
        <w:rPr>
          <w:rFonts w:hint="eastAsia"/>
          <w:sz w:val="21"/>
          <w:szCs w:val="21"/>
        </w:rPr>
        <w:t>数据来源：根据国泰安数据整理</w:t>
      </w:r>
      <w:bookmarkEnd w:id="166"/>
    </w:p>
    <w:p w14:paraId="00D135A1">
      <w:pPr>
        <w:pStyle w:val="6"/>
        <w:spacing w:before="156" w:after="156"/>
        <w:ind w:firstLine="422"/>
      </w:pPr>
      <w:bookmarkStart w:id="167" w:name="_Ref32618"/>
      <w:r>
        <w:t>图3.</w:t>
      </w:r>
      <w:r>
        <w:fldChar w:fldCharType="begin"/>
      </w:r>
      <w:r>
        <w:instrText xml:space="preserve"> SEQ 图3. \* ARABIC </w:instrText>
      </w:r>
      <w:r>
        <w:fldChar w:fldCharType="separate"/>
      </w:r>
      <w:r>
        <w:t>5</w:t>
      </w:r>
      <w:r>
        <w:fldChar w:fldCharType="end"/>
      </w:r>
      <w:bookmarkEnd w:id="167"/>
      <w:bookmarkStart w:id="168" w:name="OLE_LINK45"/>
      <w:r>
        <w:rPr>
          <w:rFonts w:hint="eastAsia"/>
        </w:rPr>
        <w:t xml:space="preserve">  川能动力营业毛利率与同行业平均水平对比图</w:t>
      </w:r>
      <w:bookmarkEnd w:id="168"/>
    </w:p>
    <w:p w14:paraId="75031064">
      <w:pPr>
        <w:ind w:firstLine="480"/>
      </w:pPr>
      <w:bookmarkStart w:id="169" w:name="OLE_LINK115"/>
      <w:bookmarkEnd w:id="169"/>
      <w:r>
        <w:t>从</w:t>
      </w:r>
      <w:r>
        <w:fldChar w:fldCharType="begin"/>
      </w:r>
      <w:r>
        <w:instrText xml:space="preserve"> REF _Ref32618 \h </w:instrText>
      </w:r>
      <w:r>
        <w:fldChar w:fldCharType="separate"/>
      </w:r>
      <w:r>
        <w:t>图3.5</w:t>
      </w:r>
      <w:r>
        <w:fldChar w:fldCharType="end"/>
      </w:r>
      <w:r>
        <w:t>可知，川能动力的营业毛利率在2017-2025年间呈现先上升后下降的趋势。2017年、2018年该公司</w:t>
      </w:r>
      <w:r>
        <w:rPr>
          <w:rFonts w:hint="eastAsia"/>
        </w:rPr>
        <w:t>营业</w:t>
      </w:r>
      <w:r>
        <w:t>毛利率处在0.06到0.12的范围内，远低于行业的平均水平，主要是因为其新能源发电业务</w:t>
      </w:r>
      <w:r>
        <w:rPr>
          <w:rFonts w:hint="eastAsia"/>
        </w:rPr>
        <w:t>收入</w:t>
      </w:r>
      <w:r>
        <w:t>比重太低，主营业务仍然是</w:t>
      </w:r>
      <w:r>
        <w:rPr>
          <w:rFonts w:hint="eastAsia"/>
        </w:rPr>
        <w:t>以</w:t>
      </w:r>
      <w:r>
        <w:t>低毛利的贸易业务</w:t>
      </w:r>
      <w:r>
        <w:rPr>
          <w:rFonts w:hint="eastAsia"/>
        </w:rPr>
        <w:t>为主</w:t>
      </w:r>
      <w:r>
        <w:t>。2019</w:t>
      </w:r>
      <w:r>
        <w:rPr>
          <w:rFonts w:hint="eastAsia"/>
        </w:rPr>
        <w:t>-2021年</w:t>
      </w:r>
      <w:r>
        <w:t>由于电力销售收入的逐渐上升，公司的</w:t>
      </w:r>
      <w:r>
        <w:rPr>
          <w:rFonts w:hint="eastAsia"/>
        </w:rPr>
        <w:t>营业</w:t>
      </w:r>
      <w:r>
        <w:t>毛利率也逐步回升到了0.33。2023年由于风力、光伏以及锂电等各方面的业务快速增长，使得公司的</w:t>
      </w:r>
      <w:r>
        <w:rPr>
          <w:rFonts w:hint="eastAsia"/>
        </w:rPr>
        <w:t>营业</w:t>
      </w:r>
      <w:r>
        <w:t>毛利率达到将0.57的高水平，远高于行业平均水平。2024年</w:t>
      </w:r>
      <w:r>
        <w:rPr>
          <w:rFonts w:hint="eastAsia"/>
        </w:rPr>
        <w:t>营业</w:t>
      </w:r>
      <w:r>
        <w:t>毛利率回落</w:t>
      </w:r>
      <w:r>
        <w:rPr>
          <w:rFonts w:hint="eastAsia"/>
        </w:rPr>
        <w:t>至0.5</w:t>
      </w:r>
      <w:r>
        <w:t>，主要是锂产品市场行情下降，锂电业务收入下降所致。2025年</w:t>
      </w:r>
      <w:r>
        <w:rPr>
          <w:rFonts w:hint="eastAsia"/>
        </w:rPr>
        <w:t>营业</w:t>
      </w:r>
      <w:r>
        <w:t>毛利率继续回</w:t>
      </w:r>
      <w:bookmarkStart w:id="170" w:name="OLE_LINK240"/>
      <w:r>
        <w:t>落</w:t>
      </w:r>
      <w:r>
        <w:rPr>
          <w:rFonts w:hint="eastAsia"/>
        </w:rPr>
        <w:t>到0.42</w:t>
      </w:r>
      <w:r>
        <w:t>，</w:t>
      </w:r>
      <w:bookmarkEnd w:id="170"/>
      <w:r>
        <w:t>是</w:t>
      </w:r>
      <w:r>
        <w:rPr>
          <w:rFonts w:hint="eastAsia"/>
        </w:rPr>
        <w:t>因为</w:t>
      </w:r>
      <w:bookmarkStart w:id="171" w:name="OLE_LINK242"/>
      <w:r>
        <w:t>风电业务受电</w:t>
      </w:r>
      <w:bookmarkEnd w:id="171"/>
      <w:r>
        <w:t>网改造、停电检修及电价下调影响</w:t>
      </w:r>
      <w:r>
        <w:rPr>
          <w:rFonts w:hint="eastAsia"/>
        </w:rPr>
        <w:t>。</w:t>
      </w:r>
    </w:p>
    <w:p w14:paraId="1198C14C">
      <w:pPr>
        <w:ind w:firstLine="480"/>
      </w:pPr>
      <w:r>
        <w:rPr>
          <w:rFonts w:hint="eastAsia"/>
        </w:rPr>
        <w:t>（2）净资产收益率</w:t>
      </w:r>
    </w:p>
    <w:p w14:paraId="2C3C2E18">
      <w:pPr>
        <w:ind w:firstLine="480"/>
      </w:pPr>
      <w:r>
        <w:t>净资产收益率</w:t>
      </w:r>
      <w:r>
        <w:rPr>
          <w:rFonts w:hint="eastAsia"/>
        </w:rPr>
        <w:t>反映企业运用自有资本获取利润的能力</w:t>
      </w:r>
      <w:r>
        <w:t>，数值大小直接反映了股东投入资金</w:t>
      </w:r>
      <w:bookmarkStart w:id="172" w:name="OLE_LINK243"/>
      <w:r>
        <w:t>的回报情况</w:t>
      </w:r>
      <w:bookmarkEnd w:id="172"/>
      <w:r>
        <w:t>的好坏。</w:t>
      </w:r>
    </w:p>
    <w:p w14:paraId="1BC10C03">
      <w:pPr>
        <w:pStyle w:val="33"/>
        <w:keepNext/>
        <w:shd w:val="clear" w:color="auto" w:fill="FFFFFF"/>
        <w:spacing w:before="156" w:beforeAutospacing="0" w:after="156" w:afterAutospacing="0"/>
        <w:rPr>
          <w:rFonts w:hint="eastAsia"/>
        </w:rPr>
      </w:pPr>
      <w:r>
        <w:rPr>
          <w:rFonts w:hint="eastAsia"/>
        </w:rPr>
        <w:drawing>
          <wp:inline distT="0" distB="0" distL="0" distR="0">
            <wp:extent cx="5259070" cy="1925955"/>
            <wp:effectExtent l="0" t="0" r="17780" b="17145"/>
            <wp:docPr id="1422493068"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7F698E5">
      <w:pPr>
        <w:pStyle w:val="33"/>
        <w:keepNext/>
        <w:shd w:val="clear" w:color="auto" w:fill="FFFFFF"/>
        <w:spacing w:before="156" w:beforeAutospacing="0" w:after="156" w:afterAutospacing="0"/>
        <w:rPr>
          <w:rFonts w:hint="eastAsia"/>
        </w:rPr>
      </w:pPr>
      <w:r>
        <w:rPr>
          <w:rFonts w:hint="eastAsia"/>
          <w:sz w:val="21"/>
          <w:szCs w:val="21"/>
        </w:rPr>
        <w:t>数据来源：根据国泰安数据整理</w:t>
      </w:r>
    </w:p>
    <w:p w14:paraId="2A545FCF">
      <w:pPr>
        <w:pStyle w:val="6"/>
        <w:spacing w:before="156" w:after="156"/>
        <w:ind w:firstLine="422"/>
        <w:rPr>
          <w:szCs w:val="21"/>
        </w:rPr>
      </w:pPr>
      <w:bookmarkStart w:id="173" w:name="_Ref4083"/>
      <w:r>
        <w:t>图3.</w:t>
      </w:r>
      <w:r>
        <w:fldChar w:fldCharType="begin"/>
      </w:r>
      <w:r>
        <w:instrText xml:space="preserve"> SEQ 图3. \* ARABIC </w:instrText>
      </w:r>
      <w:r>
        <w:fldChar w:fldCharType="separate"/>
      </w:r>
      <w:r>
        <w:t>6</w:t>
      </w:r>
      <w:r>
        <w:fldChar w:fldCharType="end"/>
      </w:r>
      <w:bookmarkEnd w:id="173"/>
      <w:bookmarkStart w:id="174" w:name="OLE_LINK47"/>
      <w:bookmarkStart w:id="175" w:name="OLE_LINK116"/>
      <w:r>
        <w:rPr>
          <w:rFonts w:hint="eastAsia"/>
        </w:rPr>
        <w:t xml:space="preserve">  川能动力净资产收益率与同行业平均水平对比图</w:t>
      </w:r>
      <w:bookmarkEnd w:id="174"/>
      <w:bookmarkEnd w:id="175"/>
    </w:p>
    <w:p w14:paraId="01EC6125">
      <w:pPr>
        <w:ind w:firstLine="480"/>
      </w:pPr>
      <w:bookmarkStart w:id="176" w:name="OLE_LINK126"/>
      <w:bookmarkEnd w:id="176"/>
      <w:bookmarkStart w:id="177" w:name="OLE_LINK124"/>
      <w:bookmarkEnd w:id="177"/>
      <w:bookmarkStart w:id="178" w:name="OLE_LINK120"/>
      <w:bookmarkEnd w:id="178"/>
      <w:bookmarkStart w:id="179" w:name="OLE_LINK128"/>
      <w:bookmarkEnd w:id="179"/>
      <w:bookmarkStart w:id="180" w:name="OLE_LINK118"/>
      <w:bookmarkEnd w:id="180"/>
      <w:bookmarkStart w:id="181" w:name="OLE_LINK119"/>
      <w:bookmarkEnd w:id="181"/>
      <w:bookmarkStart w:id="182" w:name="OLE_LINK125"/>
      <w:bookmarkEnd w:id="182"/>
      <w:bookmarkStart w:id="183" w:name="OLE_LINK140"/>
      <w:bookmarkEnd w:id="183"/>
      <w:bookmarkStart w:id="184" w:name="OLE_LINK122"/>
      <w:bookmarkEnd w:id="184"/>
      <w:bookmarkStart w:id="185" w:name="OLE_LINK193"/>
      <w:bookmarkEnd w:id="185"/>
      <w:r>
        <w:rPr>
          <w:rFonts w:hint="eastAsia"/>
        </w:rPr>
        <w:t>由</w:t>
      </w:r>
      <w:r>
        <w:rPr>
          <w:rFonts w:hint="eastAsia"/>
        </w:rPr>
        <w:fldChar w:fldCharType="begin"/>
      </w:r>
      <w:r>
        <w:rPr>
          <w:rFonts w:hint="eastAsia"/>
        </w:rPr>
        <w:instrText xml:space="preserve"> REF _Ref4083 \h </w:instrText>
      </w:r>
      <w:r>
        <w:rPr>
          <w:rFonts w:hint="eastAsia"/>
        </w:rPr>
        <w:fldChar w:fldCharType="separate"/>
      </w:r>
      <w:r>
        <w:t>图3.6</w:t>
      </w:r>
      <w:r>
        <w:rPr>
          <w:rFonts w:hint="eastAsia"/>
        </w:rPr>
        <w:fldChar w:fldCharType="end"/>
      </w:r>
      <w:r>
        <w:rPr>
          <w:rFonts w:hint="eastAsia"/>
        </w:rPr>
        <w:t>可知，</w:t>
      </w:r>
      <w:r>
        <w:t>川能动力的净资产收益率呈现出先降后升再降的趋势。从2017年至2020年，该指标持续下滑</w:t>
      </w:r>
      <w:r>
        <w:rPr>
          <w:rFonts w:hint="eastAsia"/>
        </w:rPr>
        <w:t>至</w:t>
      </w:r>
      <w:r>
        <w:t>0.07；但</w:t>
      </w:r>
      <w:bookmarkStart w:id="186" w:name="OLE_LINK244"/>
      <w:r>
        <w:t>在2021</w:t>
      </w:r>
      <w:r>
        <w:rPr>
          <w:rFonts w:hint="eastAsia"/>
        </w:rPr>
        <w:t>-</w:t>
      </w:r>
      <w:r>
        <w:t>2022年回升</w:t>
      </w:r>
      <w:bookmarkEnd w:id="186"/>
      <w:r>
        <w:t>至0.16，随后2023年，</w:t>
      </w:r>
      <w:r>
        <w:rPr>
          <w:rFonts w:hint="eastAsia"/>
        </w:rPr>
        <w:t>2024年，2025年</w:t>
      </w:r>
      <w:bookmarkStart w:id="187" w:name="OLE_LINK246"/>
      <w:r>
        <w:t>分别降</w:t>
      </w:r>
      <w:bookmarkEnd w:id="187"/>
      <w:r>
        <w:t>至</w:t>
      </w:r>
      <w:r>
        <w:rPr>
          <w:rFonts w:hint="eastAsia"/>
        </w:rPr>
        <w:t>0.14、0.06、0.05。2017-2020年</w:t>
      </w:r>
      <w:r>
        <w:t>公司</w:t>
      </w:r>
      <w:r>
        <w:rPr>
          <w:rFonts w:hint="eastAsia"/>
        </w:rPr>
        <w:t>在</w:t>
      </w:r>
      <w:r>
        <w:t>绿色</w:t>
      </w:r>
      <w:bookmarkStart w:id="188" w:name="OLE_LINK250"/>
      <w:r>
        <w:rPr>
          <w:rFonts w:hint="eastAsia"/>
        </w:rPr>
        <w:t>转型</w:t>
      </w:r>
      <w:r>
        <w:t>过程中贸易业</w:t>
      </w:r>
      <w:bookmarkEnd w:id="188"/>
      <w:r>
        <w:t>务比重下降，对营业收入的贡献减少，</w:t>
      </w:r>
      <w:r>
        <w:rPr>
          <w:rFonts w:hint="eastAsia"/>
        </w:rPr>
        <w:t>同时公司持续</w:t>
      </w:r>
      <w:bookmarkStart w:id="189" w:name="OLE_LINK251"/>
      <w:r>
        <w:rPr>
          <w:rFonts w:hint="eastAsia"/>
        </w:rPr>
        <w:t>扩大对风电项目的投入，但</w:t>
      </w:r>
      <w:r>
        <w:t>新建</w:t>
      </w:r>
      <w:r>
        <w:rPr>
          <w:rFonts w:hint="eastAsia"/>
        </w:rPr>
        <w:t>的</w:t>
      </w:r>
      <w:r>
        <w:t>新能源设施正处于投入期，还没有产生</w:t>
      </w:r>
      <w:bookmarkStart w:id="190" w:name="OLE_LINK247"/>
      <w:r>
        <w:rPr>
          <w:rFonts w:hint="eastAsia"/>
        </w:rPr>
        <w:t>相应的</w:t>
      </w:r>
      <w:r>
        <w:t>经济效益</w:t>
      </w:r>
      <w:r>
        <w:rPr>
          <w:rFonts w:hint="eastAsia"/>
        </w:rPr>
        <w:t>，从而</w:t>
      </w:r>
      <w:r>
        <w:t>使</w:t>
      </w:r>
      <w:r>
        <w:rPr>
          <w:rFonts w:hint="eastAsia"/>
        </w:rPr>
        <w:t>净资产收益率处于较低</w:t>
      </w:r>
      <w:bookmarkEnd w:id="190"/>
      <w:r>
        <w:rPr>
          <w:rFonts w:hint="eastAsia"/>
        </w:rPr>
        <w:t>水</w:t>
      </w:r>
      <w:bookmarkEnd w:id="189"/>
      <w:r>
        <w:rPr>
          <w:rFonts w:hint="eastAsia"/>
        </w:rPr>
        <w:t>平</w:t>
      </w:r>
      <w:r>
        <w:t>。由于202</w:t>
      </w:r>
      <w:bookmarkStart w:id="191" w:name="OLE_LINK248"/>
      <w:r>
        <w:t>1年、2022年受碳酸锂价格暴涨的影响，锂</w:t>
      </w:r>
      <w:r>
        <w:rPr>
          <w:rFonts w:hint="eastAsia"/>
        </w:rPr>
        <w:t>电</w:t>
      </w:r>
      <w:r>
        <w:t>业务取得了阶段性的利润增长，但</w:t>
      </w:r>
      <w:bookmarkEnd w:id="191"/>
      <w:r>
        <w:t>2023年起锂价开始回落，锂电业务</w:t>
      </w:r>
      <w:r>
        <w:rPr>
          <w:rFonts w:hint="eastAsia"/>
        </w:rPr>
        <w:t>的利润贡献大幅度减少</w:t>
      </w:r>
      <w:r>
        <w:t>，导致净资产收益率有所下滑。</w:t>
      </w:r>
    </w:p>
    <w:p w14:paraId="64576CDB">
      <w:pPr>
        <w:pStyle w:val="4"/>
        <w:spacing w:before="156" w:after="156"/>
      </w:pPr>
      <w:bookmarkStart w:id="192" w:name="OLE_LINK127"/>
      <w:bookmarkStart w:id="193" w:name="_Toc32544"/>
      <w:bookmarkStart w:id="194" w:name="OLE_LINK133"/>
      <w:r>
        <w:rPr>
          <w:rFonts w:hint="eastAsia"/>
        </w:rPr>
        <w:t>3.1.4</w:t>
      </w:r>
      <w:bookmarkEnd w:id="192"/>
      <w:r>
        <w:rPr>
          <w:rFonts w:hint="eastAsia"/>
        </w:rPr>
        <w:t xml:space="preserve">  发展能力分析</w:t>
      </w:r>
      <w:bookmarkEnd w:id="193"/>
    </w:p>
    <w:bookmarkEnd w:id="194"/>
    <w:p w14:paraId="08F7F20B">
      <w:pPr>
        <w:ind w:firstLine="480"/>
      </w:pPr>
      <w:bookmarkStart w:id="195" w:name="OLE_LINK129"/>
      <w:r>
        <w:rPr>
          <w:rFonts w:hint="eastAsia"/>
        </w:rPr>
        <w:t>发展能力是指企业通过经营活</w:t>
      </w:r>
      <w:bookmarkStart w:id="196" w:name="OLE_LINK252"/>
      <w:r>
        <w:rPr>
          <w:rFonts w:hint="eastAsia"/>
        </w:rPr>
        <w:t>动实现规模扩张和持续成长的能力</w:t>
      </w:r>
      <w:bookmarkEnd w:id="196"/>
      <w:r>
        <w:rPr>
          <w:rFonts w:hint="eastAsia"/>
        </w:rPr>
        <w:t>。本文通过净资产增长率和营业收入增长率来分析川能动力的发展能力。</w:t>
      </w:r>
    </w:p>
    <w:p w14:paraId="2B0D4A5E">
      <w:pPr>
        <w:ind w:firstLine="480"/>
      </w:pPr>
      <w:r>
        <w:rPr>
          <w:rFonts w:hint="eastAsia"/>
        </w:rPr>
        <w:t>（1）所有者权益增长率</w:t>
      </w:r>
    </w:p>
    <w:bookmarkEnd w:id="195"/>
    <w:p w14:paraId="37EABEBB">
      <w:pPr>
        <w:pStyle w:val="33"/>
        <w:spacing w:before="0" w:beforeAutospacing="0" w:after="0" w:afterAutospacing="0" w:line="288" w:lineRule="auto"/>
        <w:ind w:firstLine="480" w:firstLineChars="200"/>
        <w:jc w:val="both"/>
        <w:rPr>
          <w:rFonts w:hint="eastAsia"/>
        </w:rPr>
      </w:pPr>
      <w:r>
        <w:t>所有者权益增长率</w:t>
      </w:r>
      <w:r>
        <w:rPr>
          <w:rFonts w:hint="eastAsia"/>
        </w:rPr>
        <w:t>反映</w:t>
      </w:r>
      <w:r>
        <w:t>企业</w:t>
      </w:r>
      <w:r>
        <w:rPr>
          <w:rFonts w:hint="eastAsia"/>
        </w:rPr>
        <w:t>所有者权益的扩张速度</w:t>
      </w:r>
      <w:r>
        <w:t>，</w:t>
      </w:r>
      <w:r>
        <w:rPr>
          <w:rFonts w:hint="eastAsia"/>
        </w:rPr>
        <w:t>数值越高说明资本累积能力越强</w:t>
      </w:r>
      <w:r>
        <w:t>。</w:t>
      </w:r>
    </w:p>
    <w:p w14:paraId="43A3E9D2">
      <w:pPr>
        <w:pStyle w:val="33"/>
        <w:keepNext/>
        <w:shd w:val="clear" w:color="auto" w:fill="FFFFFF"/>
        <w:spacing w:before="0" w:beforeAutospacing="0" w:after="0" w:afterAutospacing="0" w:line="288" w:lineRule="auto"/>
        <w:jc w:val="both"/>
        <w:rPr>
          <w:rFonts w:hint="eastAsia"/>
        </w:rPr>
      </w:pPr>
      <w:r>
        <w:rPr>
          <w:rFonts w:hint="eastAsia"/>
        </w:rPr>
        <w:drawing>
          <wp:inline distT="0" distB="0" distL="0" distR="0">
            <wp:extent cx="5259070" cy="1925955"/>
            <wp:effectExtent l="0" t="0" r="17780" b="17145"/>
            <wp:docPr id="793159069"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24DE79F">
      <w:pPr>
        <w:keepNext/>
        <w:widowControl/>
        <w:shd w:val="clear" w:color="auto" w:fill="FFFFFF"/>
        <w:spacing w:line="240" w:lineRule="auto"/>
        <w:ind w:firstLine="0" w:firstLineChars="0"/>
      </w:pPr>
      <w:r>
        <w:rPr>
          <w:rFonts w:hint="eastAsia"/>
          <w:sz w:val="21"/>
          <w:szCs w:val="21"/>
        </w:rPr>
        <w:t>数据来源：根据国泰安数据整理</w:t>
      </w:r>
    </w:p>
    <w:p w14:paraId="01BB796F">
      <w:pPr>
        <w:pStyle w:val="6"/>
        <w:spacing w:before="156" w:after="156"/>
        <w:ind w:firstLine="422"/>
      </w:pPr>
      <w:bookmarkStart w:id="197" w:name="_Ref8945"/>
      <w:r>
        <w:t>图3.</w:t>
      </w:r>
      <w:r>
        <w:fldChar w:fldCharType="begin"/>
      </w:r>
      <w:r>
        <w:instrText xml:space="preserve"> SEQ 图3. \* ARABIC </w:instrText>
      </w:r>
      <w:r>
        <w:fldChar w:fldCharType="separate"/>
      </w:r>
      <w:r>
        <w:t>7</w:t>
      </w:r>
      <w:r>
        <w:fldChar w:fldCharType="end"/>
      </w:r>
      <w:bookmarkEnd w:id="197"/>
      <w:bookmarkStart w:id="198" w:name="OLE_LINK48"/>
      <w:r>
        <w:rPr>
          <w:rFonts w:hint="eastAsia"/>
        </w:rPr>
        <w:t xml:space="preserve">  川能动力所有者权益增长率与同行业平均水平对比图</w:t>
      </w:r>
      <w:bookmarkEnd w:id="198"/>
    </w:p>
    <w:p w14:paraId="102E536C">
      <w:pPr>
        <w:ind w:firstLine="480"/>
      </w:pPr>
      <w:bookmarkStart w:id="199" w:name="OLE_LINK135"/>
      <w:bookmarkEnd w:id="199"/>
      <w:bookmarkStart w:id="200" w:name="OLE_LINK114"/>
      <w:bookmarkEnd w:id="200"/>
      <w:bookmarkStart w:id="201" w:name="OLE_LINK132"/>
      <w:bookmarkEnd w:id="201"/>
      <w:bookmarkStart w:id="202" w:name="OLE_LINK172"/>
      <w:bookmarkEnd w:id="202"/>
      <w:bookmarkStart w:id="203" w:name="OLE_LINK113"/>
      <w:bookmarkEnd w:id="203"/>
      <w:bookmarkStart w:id="204" w:name="OLE_LINK117"/>
      <w:bookmarkEnd w:id="204"/>
      <w:bookmarkStart w:id="205" w:name="OLE_LINK131"/>
      <w:bookmarkEnd w:id="205"/>
      <w:r>
        <w:rPr>
          <w:rFonts w:hint="eastAsia"/>
        </w:rPr>
        <w:t>由</w:t>
      </w:r>
      <w:r>
        <w:rPr>
          <w:rFonts w:hint="eastAsia"/>
        </w:rPr>
        <w:fldChar w:fldCharType="begin"/>
      </w:r>
      <w:r>
        <w:rPr>
          <w:rFonts w:hint="eastAsia"/>
        </w:rPr>
        <w:instrText xml:space="preserve"> REF _Ref8945 \h </w:instrText>
      </w:r>
      <w:r>
        <w:rPr>
          <w:rFonts w:hint="eastAsia"/>
        </w:rPr>
        <w:fldChar w:fldCharType="separate"/>
      </w:r>
      <w:r>
        <w:t>图3.7</w:t>
      </w:r>
      <w:r>
        <w:rPr>
          <w:rFonts w:hint="eastAsia"/>
        </w:rPr>
        <w:fldChar w:fldCharType="end"/>
      </w:r>
      <w:r>
        <w:rPr>
          <w:rFonts w:hint="eastAsia"/>
        </w:rPr>
        <w:t>所示</w:t>
      </w:r>
      <w:r>
        <w:t>，</w:t>
      </w:r>
      <w:r>
        <w:rPr>
          <w:rFonts w:hint="eastAsia"/>
        </w:rPr>
        <w:t>2020年，</w:t>
      </w:r>
      <w:r>
        <w:rPr>
          <w:rFonts w:hint="eastAsia" w:ascii="Segoe UI" w:hAnsi="Segoe UI" w:cs="Segoe UI"/>
          <w:color w:val="0F1115"/>
          <w:shd w:val="clear" w:color="auto" w:fill="FFFFFF"/>
        </w:rPr>
        <w:t>所有者权益增长率的行业均值为</w:t>
      </w:r>
      <w:r>
        <w:rPr>
          <w:rFonts w:hint="eastAsia"/>
        </w:rPr>
        <w:t>3.76</w:t>
      </w:r>
      <w:r>
        <w:rPr>
          <w:rFonts w:hint="eastAsia" w:ascii="Segoe UI" w:hAnsi="Segoe UI" w:cs="Segoe UI"/>
          <w:color w:val="0F1115"/>
          <w:shd w:val="clear" w:color="auto" w:fill="FFFFFF"/>
        </w:rPr>
        <w:t>，显著高于其他年份，这是因为</w:t>
      </w:r>
      <w:r>
        <w:rPr>
          <w:rFonts w:hint="eastAsia"/>
        </w:rPr>
        <w:t>20</w:t>
      </w:r>
      <w:bookmarkStart w:id="206" w:name="OLE_LINK253"/>
      <w:r>
        <w:rPr>
          <w:rFonts w:hint="eastAsia"/>
        </w:rPr>
        <w:t>20</w:t>
      </w:r>
      <w:r>
        <w:rPr>
          <w:rFonts w:hint="eastAsia" w:ascii="Segoe UI" w:hAnsi="Segoe UI" w:cs="Segoe UI"/>
          <w:color w:val="0F1115"/>
          <w:shd w:val="clear" w:color="auto" w:fill="FFFFFF"/>
        </w:rPr>
        <w:t>年</w:t>
      </w:r>
      <w:r>
        <w:rPr>
          <w:rFonts w:hint="eastAsia"/>
        </w:rPr>
        <w:t>9</w:t>
      </w:r>
      <w:r>
        <w:rPr>
          <w:rFonts w:hint="eastAsia" w:ascii="Segoe UI" w:hAnsi="Segoe UI" w:cs="Segoe UI"/>
          <w:color w:val="0F1115"/>
          <w:shd w:val="clear" w:color="auto" w:fill="FFFFFF"/>
        </w:rPr>
        <w:t>月“</w:t>
      </w:r>
      <w:r>
        <w:rPr>
          <w:rFonts w:ascii="Segoe UI" w:hAnsi="Segoe UI" w:cs="Segoe UI"/>
          <w:color w:val="0F1115"/>
          <w:shd w:val="clear" w:color="auto" w:fill="FFFFFF"/>
        </w:rPr>
        <w:t>双</w:t>
      </w:r>
      <w:bookmarkEnd w:id="206"/>
      <w:r>
        <w:rPr>
          <w:rFonts w:ascii="Segoe UI" w:hAnsi="Segoe UI" w:cs="Segoe UI"/>
          <w:color w:val="0F1115"/>
          <w:shd w:val="clear" w:color="auto" w:fill="FFFFFF"/>
        </w:rPr>
        <w:t>碳</w:t>
      </w:r>
      <w:r>
        <w:rPr>
          <w:rFonts w:hint="eastAsia" w:ascii="Segoe UI" w:hAnsi="Segoe UI" w:cs="Segoe UI"/>
          <w:color w:val="0F1115"/>
          <w:shd w:val="clear" w:color="auto" w:fill="FFFFFF"/>
        </w:rPr>
        <w:t>”</w:t>
      </w:r>
      <w:r>
        <w:rPr>
          <w:rFonts w:ascii="Segoe UI" w:hAnsi="Segoe UI" w:cs="Segoe UI"/>
          <w:color w:val="0F1115"/>
          <w:shd w:val="clear" w:color="auto" w:fill="FFFFFF"/>
        </w:rPr>
        <w:t>目标提出后，新能源</w:t>
      </w:r>
      <w:r>
        <w:rPr>
          <w:rFonts w:hint="eastAsia" w:ascii="Segoe UI" w:hAnsi="Segoe UI" w:cs="Segoe UI"/>
          <w:color w:val="0F1115"/>
          <w:shd w:val="clear" w:color="auto" w:fill="FFFFFF"/>
        </w:rPr>
        <w:t>汽车</w:t>
      </w:r>
      <w:r>
        <w:rPr>
          <w:rFonts w:ascii="Segoe UI" w:hAnsi="Segoe UI" w:cs="Segoe UI"/>
          <w:color w:val="0F1115"/>
          <w:shd w:val="clear" w:color="auto" w:fill="FFFFFF"/>
        </w:rPr>
        <w:t>行业获得政策支持，相关上市公司通过股权融资快速扩张所有者权益</w:t>
      </w:r>
      <w:r>
        <w:rPr>
          <w:rFonts w:hint="eastAsia" w:ascii="Segoe UI" w:hAnsi="Segoe UI" w:cs="Segoe UI"/>
          <w:color w:val="0F1115"/>
          <w:shd w:val="clear" w:color="auto" w:fill="FFFFFF"/>
        </w:rPr>
        <w:t>，而</w:t>
      </w:r>
      <w:r>
        <w:rPr>
          <w:rFonts w:ascii="Segoe UI" w:hAnsi="Segoe UI" w:cs="Segoe UI"/>
          <w:color w:val="0F1115"/>
          <w:shd w:val="clear" w:color="auto" w:fill="FFFFFF"/>
        </w:rPr>
        <w:t>川能动力当时锂电业务</w:t>
      </w:r>
      <w:r>
        <w:rPr>
          <w:rFonts w:hint="eastAsia" w:ascii="Segoe UI" w:hAnsi="Segoe UI" w:cs="Segoe UI"/>
          <w:color w:val="0F1115"/>
          <w:shd w:val="clear" w:color="auto" w:fill="FFFFFF"/>
        </w:rPr>
        <w:t>没有</w:t>
      </w:r>
      <w:r>
        <w:rPr>
          <w:rFonts w:ascii="Segoe UI" w:hAnsi="Segoe UI" w:cs="Segoe UI"/>
          <w:color w:val="0F1115"/>
          <w:shd w:val="clear" w:color="auto" w:fill="FFFFFF"/>
        </w:rPr>
        <w:t>完成收购整合，且</w:t>
      </w:r>
      <w:r>
        <w:rPr>
          <w:rFonts w:hint="eastAsia" w:ascii="Segoe UI" w:hAnsi="Segoe UI" w:cs="Segoe UI"/>
          <w:color w:val="0F1115"/>
          <w:shd w:val="clear" w:color="auto" w:fill="FFFFFF"/>
        </w:rPr>
        <w:t>没有</w:t>
      </w:r>
      <w:r>
        <w:rPr>
          <w:rFonts w:ascii="Segoe UI" w:hAnsi="Segoe UI" w:cs="Segoe UI"/>
          <w:color w:val="0F1115"/>
          <w:shd w:val="clear" w:color="auto" w:fill="FFFFFF"/>
        </w:rPr>
        <w:t>进行大规模权益融资，因此所有者权益增长率低于行业均值。</w:t>
      </w:r>
      <w:r>
        <w:t>2021年</w:t>
      </w:r>
      <w:r>
        <w:rPr>
          <w:rFonts w:hint="eastAsia"/>
        </w:rPr>
        <w:t>川能动力</w:t>
      </w:r>
      <w:r>
        <w:t>所有者权益增长率高达0.6，是转型期内最高点，主要得益于当年完成对能投锂业62.75%股权和川能环保51%股权的收购，通过增发股份募集资金，资本公积和实收资本大幅增加。2022-2025年所有者权益增长率分别为0.21、0.15、0.26和0.08，2022-2023年增速较低主要是因为期间</w:t>
      </w:r>
      <w:r>
        <w:rPr>
          <w:rFonts w:hint="eastAsia"/>
        </w:rPr>
        <w:t>没有</w:t>
      </w:r>
      <w:r>
        <w:t>进行大规模股权融资；2024年增速回升主要是因为当年完成22.51亿元的增发募资；2025年增速降至4%则与当年</w:t>
      </w:r>
      <w:r>
        <w:rPr>
          <w:rFonts w:hint="eastAsia"/>
        </w:rPr>
        <w:t>没有</w:t>
      </w:r>
      <w:r>
        <w:t>新增大额股权融资且公司</w:t>
      </w:r>
      <w:r>
        <w:rPr>
          <w:rFonts w:hint="eastAsia"/>
        </w:rPr>
        <w:t>从2024年起</w:t>
      </w:r>
      <w:r>
        <w:t>连续实施现金分红有关。</w:t>
      </w:r>
    </w:p>
    <w:bookmarkEnd w:id="84"/>
    <w:bookmarkEnd w:id="85"/>
    <w:bookmarkEnd w:id="86"/>
    <w:bookmarkEnd w:id="87"/>
    <w:bookmarkEnd w:id="88"/>
    <w:bookmarkEnd w:id="89"/>
    <w:bookmarkEnd w:id="90"/>
    <w:p w14:paraId="5C431445">
      <w:pPr>
        <w:ind w:firstLine="480"/>
      </w:pPr>
      <w:r>
        <w:rPr>
          <w:rFonts w:hint="eastAsia"/>
        </w:rPr>
        <w:t>（2）营业收入增长率</w:t>
      </w:r>
    </w:p>
    <w:p w14:paraId="146D7C92">
      <w:pPr>
        <w:ind w:firstLine="480"/>
      </w:pPr>
      <w:bookmarkStart w:id="207" w:name="OLE_LINK134"/>
      <w:r>
        <w:t>营业收入增长率数值越大，则表示企业市场开拓能力越强，潜力越大。</w:t>
      </w:r>
    </w:p>
    <w:bookmarkEnd w:id="207"/>
    <w:p w14:paraId="4750A4B6">
      <w:pPr>
        <w:keepNext/>
        <w:ind w:firstLine="0" w:firstLineChars="0"/>
      </w:pPr>
      <w:r>
        <w:rPr>
          <w:rFonts w:hint="eastAsia"/>
        </w:rPr>
        <w:drawing>
          <wp:inline distT="0" distB="0" distL="0" distR="0">
            <wp:extent cx="5259070" cy="1925955"/>
            <wp:effectExtent l="0" t="0" r="17780" b="17145"/>
            <wp:docPr id="145078302" name="图表 1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BCBB261">
      <w:pPr>
        <w:keepNext/>
        <w:widowControl/>
        <w:shd w:val="clear" w:color="auto" w:fill="FFFFFF"/>
        <w:spacing w:line="240" w:lineRule="auto"/>
        <w:ind w:firstLine="0" w:firstLineChars="0"/>
      </w:pPr>
      <w:r>
        <w:rPr>
          <w:rFonts w:hint="eastAsia"/>
          <w:sz w:val="21"/>
          <w:szCs w:val="21"/>
        </w:rPr>
        <w:t>数据来源：根据国泰安数据整理</w:t>
      </w:r>
    </w:p>
    <w:p w14:paraId="50873264">
      <w:pPr>
        <w:pStyle w:val="6"/>
        <w:spacing w:before="156" w:after="156"/>
        <w:ind w:firstLine="422"/>
      </w:pPr>
      <w:bookmarkStart w:id="208" w:name="_Ref11042"/>
      <w:r>
        <w:t>图3.</w:t>
      </w:r>
      <w:r>
        <w:fldChar w:fldCharType="begin"/>
      </w:r>
      <w:r>
        <w:instrText xml:space="preserve"> SEQ 图3. \* ARABIC </w:instrText>
      </w:r>
      <w:r>
        <w:fldChar w:fldCharType="separate"/>
      </w:r>
      <w:r>
        <w:t>8</w:t>
      </w:r>
      <w:r>
        <w:fldChar w:fldCharType="end"/>
      </w:r>
      <w:bookmarkEnd w:id="208"/>
      <w:r>
        <w:rPr>
          <w:rFonts w:hint="eastAsia"/>
        </w:rPr>
        <w:t xml:space="preserve">  川能动力营业收入增长率与同行业平均水平对比图</w:t>
      </w:r>
    </w:p>
    <w:p w14:paraId="6F6E72FF">
      <w:pPr>
        <w:ind w:firstLine="480"/>
      </w:pPr>
      <w:bookmarkStart w:id="209" w:name="OLE_LINK136"/>
      <w:bookmarkStart w:id="210" w:name="OLE_LINK194"/>
      <w:r>
        <w:rPr>
          <w:rFonts w:hint="eastAsia"/>
        </w:rPr>
        <w:t>由</w:t>
      </w:r>
      <w:r>
        <w:rPr>
          <w:rFonts w:hint="eastAsia"/>
        </w:rPr>
        <w:fldChar w:fldCharType="begin"/>
      </w:r>
      <w:r>
        <w:rPr>
          <w:rFonts w:hint="eastAsia"/>
        </w:rPr>
        <w:instrText xml:space="preserve"> REF _Ref11042 \h </w:instrText>
      </w:r>
      <w:r>
        <w:rPr>
          <w:rFonts w:hint="eastAsia"/>
        </w:rPr>
        <w:fldChar w:fldCharType="separate"/>
      </w:r>
      <w:r>
        <w:t>图3.8</w:t>
      </w:r>
      <w:r>
        <w:rPr>
          <w:rFonts w:hint="eastAsia"/>
        </w:rPr>
        <w:fldChar w:fldCharType="end"/>
      </w:r>
      <w:r>
        <w:rPr>
          <w:rFonts w:hint="eastAsia"/>
        </w:rPr>
        <w:t>所示，</w:t>
      </w:r>
      <w:r>
        <w:t>2018年增速明显下降，主要是因为企业出于风险管理的目的对贸易业务规模</w:t>
      </w:r>
      <w:r>
        <w:rPr>
          <w:rFonts w:hint="eastAsia"/>
        </w:rPr>
        <w:t>进行</w:t>
      </w:r>
      <w:r>
        <w:t>缩减。2019年，公司的营业总收入继续下滑，主要是因为公司将贸易业务剥离出去，转而发展新能源综合服务业务。由于新兴业务还没有建立起稳定的盈利基础，因此不能弥</w:t>
      </w:r>
      <w:bookmarkStart w:id="211" w:name="OLE_LINK254"/>
      <w:r>
        <w:t>补传统贸易业务收缩造成的</w:t>
      </w:r>
      <w:bookmarkEnd w:id="211"/>
      <w:r>
        <w:t>负面影响。</w:t>
      </w:r>
      <w:r>
        <w:rPr>
          <w:rFonts w:hint="eastAsia"/>
        </w:rPr>
        <w:t>营业收入增长率由2020年-</w:t>
      </w:r>
      <w:r>
        <w:t>0.03</w:t>
      </w:r>
      <w:r>
        <w:rPr>
          <w:rFonts w:hint="eastAsia"/>
        </w:rPr>
        <w:t>升至2021年1.21主要是由于</w:t>
      </w:r>
      <w:r>
        <w:t>疫情</w:t>
      </w:r>
      <w:r>
        <w:rPr>
          <w:rFonts w:hint="eastAsia"/>
        </w:rPr>
        <w:t>得到控制</w:t>
      </w:r>
      <w:r>
        <w:t>后新能源</w:t>
      </w:r>
      <w:r>
        <w:rPr>
          <w:rFonts w:hint="eastAsia"/>
        </w:rPr>
        <w:t>综合</w:t>
      </w:r>
      <w:r>
        <w:t>服</w:t>
      </w:r>
      <w:bookmarkStart w:id="212" w:name="OLE_LINK256"/>
      <w:r>
        <w:t>务</w:t>
      </w:r>
      <w:r>
        <w:rPr>
          <w:rFonts w:hint="eastAsia"/>
        </w:rPr>
        <w:t>业务</w:t>
      </w:r>
      <w:r>
        <w:t>的</w:t>
      </w:r>
      <w:bookmarkEnd w:id="212"/>
      <w:r>
        <w:t>恢复</w:t>
      </w:r>
      <w:bookmarkStart w:id="213" w:name="OLE_LINK257"/>
      <w:r>
        <w:t>和风电项目并网运行所带来效益的提</w:t>
      </w:r>
      <w:bookmarkEnd w:id="213"/>
      <w:r>
        <w:t>升。</w:t>
      </w:r>
      <w:bookmarkEnd w:id="209"/>
      <w:bookmarkStart w:id="214" w:name="OLE_LINK68"/>
      <w:bookmarkEnd w:id="214"/>
      <w:bookmarkStart w:id="215" w:name="OLE_LINK66"/>
      <w:bookmarkEnd w:id="215"/>
      <w:bookmarkStart w:id="216" w:name="OLE_LINK137"/>
      <w:bookmarkEnd w:id="216"/>
      <w:bookmarkStart w:id="217" w:name="OLE_LINK141"/>
      <w:bookmarkEnd w:id="217"/>
      <w:bookmarkStart w:id="218" w:name="OLE_LINK144"/>
      <w:bookmarkEnd w:id="218"/>
      <w:bookmarkStart w:id="219" w:name="OLE_LINK143"/>
      <w:bookmarkEnd w:id="219"/>
      <w:bookmarkStart w:id="220" w:name="OLE_LINK145"/>
      <w:bookmarkEnd w:id="220"/>
      <w:bookmarkStart w:id="221" w:name="OLE_LINK69"/>
      <w:bookmarkEnd w:id="221"/>
      <w:bookmarkStart w:id="222" w:name="OLE_LINK142"/>
      <w:bookmarkEnd w:id="222"/>
      <w:bookmarkStart w:id="223" w:name="OLE_LINK63"/>
      <w:bookmarkEnd w:id="223"/>
      <w:r>
        <w:t>2</w:t>
      </w:r>
      <w:bookmarkStart w:id="224" w:name="OLE_LINK255"/>
      <w:r>
        <w:t>022-2024</w:t>
      </w:r>
      <w:r>
        <w:rPr>
          <w:rFonts w:ascii="Segoe UI" w:hAnsi="Segoe UI" w:cs="Segoe UI"/>
          <w:color w:val="0F1115"/>
          <w:shd w:val="clear" w:color="auto" w:fill="FFFFFF"/>
        </w:rPr>
        <w:t>年</w:t>
      </w:r>
      <w:r>
        <w:rPr>
          <w:rFonts w:hint="eastAsia" w:ascii="Segoe UI" w:hAnsi="Segoe UI" w:cs="Segoe UI"/>
          <w:color w:val="0F1115"/>
          <w:shd w:val="clear" w:color="auto" w:fill="FFFFFF"/>
        </w:rPr>
        <w:t>营业收入增长率</w:t>
      </w:r>
      <w:r>
        <w:rPr>
          <w:rFonts w:ascii="Segoe UI" w:hAnsi="Segoe UI" w:cs="Segoe UI"/>
          <w:color w:val="0F1115"/>
          <w:shd w:val="clear" w:color="auto" w:fill="FFFFFF"/>
        </w:rPr>
        <w:t>连续三年负增长，持续下滑的</w:t>
      </w:r>
      <w:r>
        <w:rPr>
          <w:rFonts w:hint="eastAsia" w:ascii="Segoe UI" w:hAnsi="Segoe UI" w:cs="Segoe UI"/>
          <w:color w:val="0F1115"/>
          <w:shd w:val="clear" w:color="auto" w:fill="FFFFFF"/>
        </w:rPr>
        <w:t>原</w:t>
      </w:r>
      <w:bookmarkEnd w:id="224"/>
      <w:r>
        <w:rPr>
          <w:rFonts w:hint="eastAsia" w:ascii="Segoe UI" w:hAnsi="Segoe UI" w:cs="Segoe UI"/>
          <w:color w:val="0F1115"/>
          <w:shd w:val="clear" w:color="auto" w:fill="FFFFFF"/>
        </w:rPr>
        <w:t>因</w:t>
      </w:r>
      <w:r>
        <w:rPr>
          <w:rFonts w:ascii="Segoe UI" w:hAnsi="Segoe UI" w:cs="Segoe UI"/>
          <w:color w:val="0F1115"/>
          <w:shd w:val="clear" w:color="auto" w:fill="FFFFFF"/>
        </w:rPr>
        <w:t>在于</w:t>
      </w:r>
      <w:r>
        <w:rPr>
          <w:rFonts w:hint="eastAsia"/>
        </w:rPr>
        <w:t>2022</w:t>
      </w:r>
      <w:r>
        <w:rPr>
          <w:rFonts w:hint="eastAsia" w:ascii="Segoe UI" w:hAnsi="Segoe UI" w:cs="Segoe UI"/>
          <w:color w:val="0F1115"/>
          <w:shd w:val="clear" w:color="auto" w:fill="FFFFFF"/>
        </w:rPr>
        <w:t>年川能动力</w:t>
      </w:r>
      <w:r>
        <w:rPr>
          <w:rFonts w:ascii="Segoe UI" w:hAnsi="Segoe UI" w:cs="Segoe UI"/>
          <w:color w:val="0F1115"/>
          <w:shd w:val="clear" w:color="auto" w:fill="FFFFFF"/>
        </w:rPr>
        <w:t>业务结构</w:t>
      </w:r>
      <w:r>
        <w:rPr>
          <w:rFonts w:hint="eastAsia" w:ascii="Segoe UI" w:hAnsi="Segoe UI" w:cs="Segoe UI"/>
          <w:color w:val="0F1115"/>
          <w:shd w:val="clear" w:color="auto" w:fill="FFFFFF"/>
        </w:rPr>
        <w:t>有所</w:t>
      </w:r>
      <w:r>
        <w:rPr>
          <w:rFonts w:ascii="Segoe UI" w:hAnsi="Segoe UI" w:cs="Segoe UI"/>
          <w:color w:val="0F1115"/>
          <w:shd w:val="clear" w:color="auto" w:fill="FFFFFF"/>
        </w:rPr>
        <w:t>调整</w:t>
      </w:r>
      <w:r>
        <w:rPr>
          <w:rFonts w:hint="eastAsia" w:ascii="Segoe UI" w:hAnsi="Segoe UI" w:cs="Segoe UI"/>
          <w:color w:val="0F1115"/>
          <w:shd w:val="clear" w:color="auto" w:fill="FFFFFF"/>
        </w:rPr>
        <w:t>，</w:t>
      </w:r>
      <w:r>
        <w:rPr>
          <w:rFonts w:hint="eastAsia"/>
        </w:rPr>
        <w:t>2023-2024</w:t>
      </w:r>
      <w:r>
        <w:rPr>
          <w:rFonts w:hint="eastAsia" w:ascii="Segoe UI" w:hAnsi="Segoe UI" w:cs="Segoe UI"/>
          <w:color w:val="0F1115"/>
          <w:shd w:val="clear" w:color="auto" w:fill="FFFFFF"/>
        </w:rPr>
        <w:t>年</w:t>
      </w:r>
      <w:r>
        <w:rPr>
          <w:rFonts w:ascii="Segoe UI" w:hAnsi="Segoe UI" w:cs="Segoe UI"/>
          <w:color w:val="0F1115"/>
          <w:shd w:val="clear" w:color="auto" w:fill="FFFFFF"/>
        </w:rPr>
        <w:t>公司锂电业务收入</w:t>
      </w:r>
      <w:r>
        <w:rPr>
          <w:rFonts w:hint="eastAsia" w:ascii="Segoe UI" w:hAnsi="Segoe UI" w:cs="Segoe UI"/>
          <w:color w:val="0F1115"/>
          <w:shd w:val="clear" w:color="auto" w:fill="FFFFFF"/>
        </w:rPr>
        <w:t>减少</w:t>
      </w:r>
      <w:r>
        <w:rPr>
          <w:rFonts w:ascii="Segoe UI" w:hAnsi="Segoe UI" w:cs="Segoe UI"/>
          <w:color w:val="0F1115"/>
          <w:shd w:val="clear" w:color="auto" w:fill="FFFFFF"/>
        </w:rPr>
        <w:t>，进一步</w:t>
      </w:r>
      <w:r>
        <w:rPr>
          <w:rFonts w:hint="eastAsia" w:ascii="Segoe UI" w:hAnsi="Segoe UI" w:cs="Segoe UI"/>
          <w:color w:val="0F1115"/>
          <w:shd w:val="clear" w:color="auto" w:fill="FFFFFF"/>
        </w:rPr>
        <w:t>降低</w:t>
      </w:r>
      <w:r>
        <w:rPr>
          <w:rFonts w:ascii="Segoe UI" w:hAnsi="Segoe UI" w:cs="Segoe UI"/>
          <w:color w:val="0F1115"/>
          <w:shd w:val="clear" w:color="auto" w:fill="FFFFFF"/>
        </w:rPr>
        <w:t>了整体营收表现</w:t>
      </w:r>
      <w:r>
        <w:rPr>
          <w:rFonts w:hint="eastAsia" w:ascii="Segoe UI" w:hAnsi="Segoe UI" w:cs="Segoe UI"/>
          <w:color w:val="0F1115"/>
          <w:shd w:val="clear" w:color="auto" w:fill="FFFFFF"/>
        </w:rPr>
        <w:t>。</w:t>
      </w:r>
      <w:r>
        <w:t>2025</w:t>
      </w:r>
      <w:r>
        <w:rPr>
          <w:rFonts w:ascii="Segoe UI" w:hAnsi="Segoe UI" w:cs="Segoe UI"/>
          <w:color w:val="0F1115"/>
          <w:shd w:val="clear" w:color="auto" w:fill="FFFFFF"/>
        </w:rPr>
        <w:t>年</w:t>
      </w:r>
      <w:r>
        <w:rPr>
          <w:rFonts w:hint="eastAsia" w:ascii="Segoe UI" w:hAnsi="Segoe UI" w:cs="Segoe UI"/>
          <w:color w:val="0F1115"/>
          <w:shd w:val="clear" w:color="auto" w:fill="FFFFFF"/>
        </w:rPr>
        <w:t>营业收入增长率上升至</w:t>
      </w:r>
      <w:r>
        <w:rPr>
          <w:rFonts w:hint="eastAsia"/>
        </w:rPr>
        <w:t>0.18</w:t>
      </w:r>
      <w:r>
        <w:rPr>
          <w:rFonts w:hint="eastAsia" w:ascii="Segoe UI" w:hAnsi="Segoe UI" w:cs="Segoe UI"/>
          <w:color w:val="0F1115"/>
          <w:shd w:val="clear" w:color="auto" w:fill="FFFFFF"/>
        </w:rPr>
        <w:t>，超过同行业平均水平，</w:t>
      </w:r>
      <w:r>
        <w:rPr>
          <w:rFonts w:ascii="Segoe UI" w:hAnsi="Segoe UI" w:cs="Segoe UI"/>
          <w:color w:val="0F1115"/>
          <w:shd w:val="clear" w:color="auto" w:fill="FFFFFF"/>
        </w:rPr>
        <w:t>主要</w:t>
      </w:r>
      <w:r>
        <w:rPr>
          <w:rFonts w:hint="eastAsia" w:ascii="Segoe UI" w:hAnsi="Segoe UI" w:cs="Segoe UI"/>
          <w:color w:val="0F1115"/>
          <w:shd w:val="clear" w:color="auto" w:fill="FFFFFF"/>
        </w:rPr>
        <w:t>由于</w:t>
      </w:r>
      <w:r>
        <w:rPr>
          <w:rFonts w:ascii="Segoe UI" w:hAnsi="Segoe UI" w:cs="Segoe UI"/>
          <w:color w:val="0F1115"/>
          <w:shd w:val="clear" w:color="auto" w:fill="FFFFFF"/>
        </w:rPr>
        <w:t>锂电业务产能释放、销量大</w:t>
      </w:r>
      <w:r>
        <w:rPr>
          <w:rFonts w:hint="eastAsia" w:ascii="Segoe UI" w:hAnsi="Segoe UI" w:cs="Segoe UI"/>
          <w:color w:val="0F1115"/>
          <w:shd w:val="clear" w:color="auto" w:fill="FFFFFF"/>
        </w:rPr>
        <w:t>幅度</w:t>
      </w:r>
      <w:r>
        <w:rPr>
          <w:rFonts w:ascii="Segoe UI" w:hAnsi="Segoe UI" w:cs="Segoe UI"/>
          <w:color w:val="0F1115"/>
          <w:shd w:val="clear" w:color="auto" w:fill="FFFFFF"/>
        </w:rPr>
        <w:t>增长所致</w:t>
      </w:r>
      <w:r>
        <w:rPr>
          <w:rFonts w:hint="eastAsia" w:ascii="Segoe UI" w:hAnsi="Segoe UI" w:cs="Segoe UI"/>
          <w:color w:val="0F1115"/>
          <w:shd w:val="clear" w:color="auto" w:fill="FFFFFF"/>
        </w:rPr>
        <w:t>。</w:t>
      </w:r>
    </w:p>
    <w:bookmarkEnd w:id="210"/>
    <w:p w14:paraId="7B3E8BDB">
      <w:pPr>
        <w:pStyle w:val="3"/>
        <w:spacing w:before="312" w:after="156"/>
        <w:rPr>
          <w:rFonts w:hint="default" w:cs="Segoe UI"/>
          <w:color w:val="0F1115"/>
          <w:shd w:val="clear" w:color="auto" w:fill="FFFFFF"/>
        </w:rPr>
      </w:pPr>
      <w:bookmarkStart w:id="225" w:name="_Toc27875"/>
      <w:r>
        <w:t>3.2  财务绩效评价</w:t>
      </w:r>
      <w:bookmarkEnd w:id="225"/>
    </w:p>
    <w:p w14:paraId="29884E11">
      <w:pPr>
        <w:pStyle w:val="4"/>
        <w:spacing w:before="156" w:after="156"/>
        <w:rPr>
          <w:sz w:val="28"/>
          <w:szCs w:val="28"/>
        </w:rPr>
      </w:pPr>
      <w:bookmarkStart w:id="226" w:name="_Toc7845"/>
      <w:r>
        <w:rPr>
          <w:rFonts w:hint="eastAsia"/>
        </w:rPr>
        <w:t>3.2.1  熵值法</w:t>
      </w:r>
      <w:bookmarkEnd w:id="226"/>
    </w:p>
    <w:p w14:paraId="6D279F3D">
      <w:pPr>
        <w:ind w:firstLine="480"/>
        <w:rPr>
          <w:rFonts w:ascii="Segoe UI" w:hAnsi="Segoe UI" w:cs="Segoe UI"/>
          <w:color w:val="0F1115"/>
          <w:shd w:val="clear" w:color="auto" w:fill="FFFFFF"/>
        </w:rPr>
      </w:pPr>
      <w:bookmarkStart w:id="227" w:name="OLE_LINK17"/>
      <w:r>
        <w:rPr>
          <w:rFonts w:ascii="Segoe UI" w:hAnsi="Segoe UI" w:cs="Segoe UI"/>
          <w:color w:val="0F1115"/>
          <w:shd w:val="clear" w:color="auto" w:fill="FFFFFF"/>
        </w:rPr>
        <w:t>单项财务指标仅能反映企业某一特定</w:t>
      </w:r>
      <w:r>
        <w:rPr>
          <w:rFonts w:hint="eastAsia" w:ascii="Segoe UI" w:hAnsi="Segoe UI" w:cs="Segoe UI"/>
          <w:color w:val="0F1115"/>
          <w:shd w:val="clear" w:color="auto" w:fill="FFFFFF"/>
        </w:rPr>
        <w:t>方面</w:t>
      </w:r>
      <w:r>
        <w:rPr>
          <w:rFonts w:ascii="Segoe UI" w:hAnsi="Segoe UI" w:cs="Segoe UI"/>
          <w:color w:val="0F1115"/>
          <w:shd w:val="clear" w:color="auto" w:fill="FFFFFF"/>
        </w:rPr>
        <w:t>，据此评估易产生偏差。企业财务表现往往是多种因素</w:t>
      </w:r>
      <w:r>
        <w:rPr>
          <w:rFonts w:hint="eastAsia" w:ascii="Segoe UI" w:hAnsi="Segoe UI" w:cs="Segoe UI"/>
          <w:color w:val="0F1115"/>
          <w:shd w:val="clear" w:color="auto" w:fill="FFFFFF"/>
        </w:rPr>
        <w:t>共同</w:t>
      </w:r>
      <w:r>
        <w:rPr>
          <w:rFonts w:ascii="Segoe UI" w:hAnsi="Segoe UI" w:cs="Segoe UI"/>
          <w:color w:val="0F1115"/>
          <w:shd w:val="clear" w:color="auto" w:fill="FFFFFF"/>
        </w:rPr>
        <w:t>作用的结果。熵值法</w:t>
      </w:r>
      <w:r>
        <w:rPr>
          <w:rFonts w:hint="eastAsia" w:ascii="Segoe UI" w:hAnsi="Segoe UI" w:cs="Segoe UI"/>
          <w:color w:val="0F1115"/>
          <w:shd w:val="clear" w:color="auto" w:fill="FFFFFF"/>
        </w:rPr>
        <w:t>是根据</w:t>
      </w:r>
      <w:r>
        <w:rPr>
          <w:rFonts w:ascii="Segoe UI" w:hAnsi="Segoe UI" w:cs="Segoe UI"/>
          <w:color w:val="0F1115"/>
          <w:shd w:val="clear" w:color="auto" w:fill="FFFFFF"/>
        </w:rPr>
        <w:t>各指标信息熵的大小分配权重，系统纳入绩效评价中的全部相关指标，规避主观干扰与单项指标的局限性，有助于得出更科学、客观的财务绩效评判。因此，本文为使评价结果更加全面可靠，采用熵值法对财务绩效开展进一步综合评估。</w:t>
      </w:r>
    </w:p>
    <w:p w14:paraId="2414E8CA">
      <w:pPr>
        <w:ind w:firstLine="480"/>
      </w:pPr>
      <w:r>
        <w:drawing>
          <wp:inline distT="0" distB="0" distL="0" distR="0">
            <wp:extent cx="3024505" cy="2034540"/>
            <wp:effectExtent l="0" t="0" r="4445" b="3810"/>
            <wp:docPr id="948490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0619" name="图片 1"/>
                    <pic:cNvPicPr>
                      <a:picLocks noChangeAspect="1"/>
                    </pic:cNvPicPr>
                  </pic:nvPicPr>
                  <pic:blipFill>
                    <a:blip r:embed="rId23"/>
                    <a:stretch>
                      <a:fillRect/>
                    </a:stretch>
                  </pic:blipFill>
                  <pic:spPr>
                    <a:xfrm>
                      <a:off x="0" y="0"/>
                      <a:ext cx="3026684" cy="2036006"/>
                    </a:xfrm>
                    <a:prstGeom prst="rect">
                      <a:avLst/>
                    </a:prstGeom>
                  </pic:spPr>
                </pic:pic>
              </a:graphicData>
            </a:graphic>
          </wp:inline>
        </w:drawing>
      </w:r>
    </w:p>
    <w:p w14:paraId="51334A26">
      <w:pPr>
        <w:pStyle w:val="6"/>
        <w:spacing w:before="156" w:after="156"/>
        <w:ind w:firstLine="0" w:firstLineChars="0"/>
      </w:pPr>
      <w:r>
        <w:t>图3.</w:t>
      </w:r>
      <w:r>
        <w:fldChar w:fldCharType="begin"/>
      </w:r>
      <w:r>
        <w:instrText xml:space="preserve"> SEQ 图3. \* ARABIC </w:instrText>
      </w:r>
      <w:r>
        <w:fldChar w:fldCharType="separate"/>
      </w:r>
      <w:r>
        <w:t>9</w:t>
      </w:r>
      <w:r>
        <w:fldChar w:fldCharType="end"/>
      </w:r>
      <w:r>
        <w:rPr>
          <w:rFonts w:hint="eastAsia"/>
        </w:rPr>
        <w:t xml:space="preserve">  熵值法计算步骤图</w:t>
      </w:r>
    </w:p>
    <w:bookmarkEnd w:id="227"/>
    <w:p w14:paraId="37B0798F">
      <w:pPr>
        <w:pStyle w:val="4"/>
        <w:spacing w:before="156" w:after="156"/>
      </w:pPr>
      <w:bookmarkStart w:id="228" w:name="_Toc11817"/>
      <w:r>
        <w:t>3.2.2  财务绩效评价的过程</w:t>
      </w:r>
      <w:bookmarkEnd w:id="228"/>
    </w:p>
    <w:p w14:paraId="0834300E">
      <w:pPr>
        <w:pStyle w:val="32"/>
        <w:ind w:left="1200" w:hanging="720" w:firstLineChars="0"/>
      </w:pPr>
      <w:r>
        <w:rPr>
          <w:rFonts w:hint="eastAsia"/>
        </w:rPr>
        <w:t>（1）构建财务绩效评价体系</w:t>
      </w:r>
    </w:p>
    <w:p w14:paraId="5524390A">
      <w:pPr>
        <w:ind w:firstLine="480"/>
      </w:pPr>
      <w:r>
        <w:rPr>
          <w:rFonts w:ascii="Segoe UI" w:hAnsi="Segoe UI" w:cs="Segoe UI"/>
          <w:color w:val="0F1115"/>
          <w:shd w:val="clear" w:color="auto" w:fill="FFFFFF"/>
        </w:rPr>
        <w:t>本文以偿债能力、</w:t>
      </w:r>
      <w:r>
        <w:rPr>
          <w:rFonts w:hint="eastAsia" w:ascii="Segoe UI" w:hAnsi="Segoe UI" w:cs="Segoe UI"/>
          <w:color w:val="0F1115"/>
          <w:shd w:val="clear" w:color="auto" w:fill="FFFFFF"/>
        </w:rPr>
        <w:t>营运能力</w:t>
      </w:r>
      <w:r>
        <w:rPr>
          <w:rFonts w:ascii="Segoe UI" w:hAnsi="Segoe UI" w:cs="Segoe UI"/>
          <w:color w:val="0F1115"/>
          <w:shd w:val="clear" w:color="auto" w:fill="FFFFFF"/>
        </w:rPr>
        <w:t>、盈利能力以及发展</w:t>
      </w:r>
      <w:r>
        <w:rPr>
          <w:rFonts w:hint="eastAsia" w:ascii="Segoe UI" w:hAnsi="Segoe UI" w:cs="Segoe UI"/>
          <w:color w:val="0F1115"/>
          <w:shd w:val="clear" w:color="auto" w:fill="FFFFFF"/>
        </w:rPr>
        <w:t>能力</w:t>
      </w:r>
      <w:r>
        <w:rPr>
          <w:rFonts w:ascii="Segoe UI" w:hAnsi="Segoe UI" w:cs="Segoe UI"/>
          <w:color w:val="0F1115"/>
          <w:shd w:val="clear" w:color="auto" w:fill="FFFFFF"/>
        </w:rPr>
        <w:t>这四个维度作为评价标准，从中选取了八项重要的财务指标，并由此建立了完整的多维财务绩效评价体系。</w:t>
      </w:r>
    </w:p>
    <w:p w14:paraId="69AD180F">
      <w:pPr>
        <w:pStyle w:val="6"/>
        <w:spacing w:before="156" w:after="156"/>
        <w:ind w:firstLine="422"/>
      </w:pPr>
      <w:r>
        <w:t>表3.</w:t>
      </w:r>
      <w:r>
        <w:fldChar w:fldCharType="begin"/>
      </w:r>
      <w:r>
        <w:instrText xml:space="preserve"> SEQ 表3. \* ARABIC </w:instrText>
      </w:r>
      <w:r>
        <w:fldChar w:fldCharType="separate"/>
      </w:r>
      <w:r>
        <w:t>1</w:t>
      </w:r>
      <w:r>
        <w:fldChar w:fldCharType="end"/>
      </w:r>
      <w:r>
        <w:rPr>
          <w:rFonts w:hint="eastAsia"/>
        </w:rPr>
        <w:t xml:space="preserve">  财务绩效评价指标</w:t>
      </w:r>
    </w:p>
    <w:tbl>
      <w:tblPr>
        <w:tblStyle w:val="20"/>
        <w:tblW w:w="83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6"/>
        <w:gridCol w:w="2493"/>
        <w:gridCol w:w="4157"/>
      </w:tblGrid>
      <w:tr w14:paraId="3B7B7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56" w:type="dxa"/>
            <w:tcBorders>
              <w:bottom w:val="single" w:color="auto" w:sz="4" w:space="0"/>
              <w:tl2br w:val="nil"/>
              <w:tr2bl w:val="nil"/>
            </w:tcBorders>
            <w:vAlign w:val="center"/>
          </w:tcPr>
          <w:p w14:paraId="3080F914">
            <w:pPr>
              <w:snapToGrid w:val="0"/>
              <w:spacing w:line="240" w:lineRule="auto"/>
              <w:ind w:firstLine="0" w:firstLineChars="0"/>
              <w:jc w:val="center"/>
              <w:rPr>
                <w:b/>
                <w:sz w:val="21"/>
                <w:szCs w:val="21"/>
              </w:rPr>
            </w:pPr>
            <w:r>
              <w:rPr>
                <w:rFonts w:hint="eastAsia"/>
                <w:b/>
                <w:sz w:val="21"/>
                <w:szCs w:val="21"/>
              </w:rPr>
              <w:t>一级财务指标</w:t>
            </w:r>
          </w:p>
        </w:tc>
        <w:tc>
          <w:tcPr>
            <w:tcW w:w="2493" w:type="dxa"/>
            <w:tcBorders>
              <w:bottom w:val="single" w:color="auto" w:sz="4" w:space="0"/>
              <w:tl2br w:val="nil"/>
              <w:tr2bl w:val="nil"/>
            </w:tcBorders>
            <w:vAlign w:val="center"/>
          </w:tcPr>
          <w:p w14:paraId="5EE030E2">
            <w:pPr>
              <w:snapToGrid w:val="0"/>
              <w:spacing w:line="240" w:lineRule="auto"/>
              <w:ind w:firstLine="0" w:firstLineChars="0"/>
              <w:jc w:val="center"/>
              <w:rPr>
                <w:b/>
                <w:sz w:val="21"/>
              </w:rPr>
            </w:pPr>
            <w:r>
              <w:rPr>
                <w:rFonts w:hint="eastAsia"/>
                <w:b/>
                <w:sz w:val="21"/>
                <w:szCs w:val="21"/>
              </w:rPr>
              <w:t>二级财务指标</w:t>
            </w:r>
          </w:p>
        </w:tc>
        <w:tc>
          <w:tcPr>
            <w:tcW w:w="4157" w:type="dxa"/>
            <w:tcBorders>
              <w:bottom w:val="single" w:color="auto" w:sz="4" w:space="0"/>
              <w:tl2br w:val="nil"/>
              <w:tr2bl w:val="nil"/>
            </w:tcBorders>
            <w:vAlign w:val="center"/>
          </w:tcPr>
          <w:p w14:paraId="59C025EB">
            <w:pPr>
              <w:snapToGrid w:val="0"/>
              <w:spacing w:line="240" w:lineRule="auto"/>
              <w:ind w:firstLine="0" w:firstLineChars="0"/>
              <w:jc w:val="center"/>
              <w:rPr>
                <w:b/>
                <w:sz w:val="21"/>
              </w:rPr>
            </w:pPr>
            <w:r>
              <w:rPr>
                <w:rFonts w:hint="eastAsia"/>
                <w:b/>
                <w:sz w:val="21"/>
                <w:szCs w:val="21"/>
              </w:rPr>
              <w:t>财务指标计算公式</w:t>
            </w:r>
          </w:p>
        </w:tc>
      </w:tr>
      <w:tr w14:paraId="459ADC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restart"/>
            <w:tcBorders>
              <w:top w:val="single" w:color="auto" w:sz="4" w:space="0"/>
            </w:tcBorders>
            <w:vAlign w:val="center"/>
          </w:tcPr>
          <w:p w14:paraId="0B92AB0D">
            <w:pPr>
              <w:snapToGrid w:val="0"/>
              <w:spacing w:line="240" w:lineRule="auto"/>
              <w:ind w:firstLine="0" w:firstLineChars="0"/>
              <w:jc w:val="center"/>
              <w:rPr>
                <w:sz w:val="21"/>
                <w:vertAlign w:val="subscript"/>
              </w:rPr>
            </w:pPr>
            <w:r>
              <w:rPr>
                <w:rFonts w:hint="eastAsia"/>
                <w:sz w:val="21"/>
                <w:szCs w:val="21"/>
              </w:rPr>
              <w:t>偿债能力X</w:t>
            </w:r>
            <w:r>
              <w:rPr>
                <w:rFonts w:hint="eastAsia"/>
                <w:sz w:val="21"/>
                <w:szCs w:val="21"/>
                <w:vertAlign w:val="subscript"/>
              </w:rPr>
              <w:t>1</w:t>
            </w:r>
          </w:p>
        </w:tc>
        <w:tc>
          <w:tcPr>
            <w:tcW w:w="2493" w:type="dxa"/>
            <w:tcBorders>
              <w:top w:val="single" w:color="auto" w:sz="4" w:space="0"/>
            </w:tcBorders>
            <w:vAlign w:val="center"/>
          </w:tcPr>
          <w:p w14:paraId="14B8D5D6">
            <w:pPr>
              <w:snapToGrid w:val="0"/>
              <w:spacing w:line="240" w:lineRule="auto"/>
              <w:ind w:firstLine="0" w:firstLineChars="0"/>
              <w:jc w:val="center"/>
              <w:rPr>
                <w:sz w:val="21"/>
              </w:rPr>
            </w:pPr>
            <w:r>
              <w:rPr>
                <w:rFonts w:hint="eastAsia"/>
                <w:sz w:val="21"/>
                <w:szCs w:val="21"/>
              </w:rPr>
              <w:t>流动比率</w:t>
            </w:r>
            <w:bookmarkStart w:id="229" w:name="OLE_LINK64"/>
            <w:r>
              <w:rPr>
                <w:rFonts w:hint="eastAsia"/>
                <w:sz w:val="21"/>
                <w:szCs w:val="21"/>
              </w:rPr>
              <w:t>X</w:t>
            </w:r>
            <w:r>
              <w:rPr>
                <w:rFonts w:hint="eastAsia"/>
                <w:sz w:val="21"/>
                <w:szCs w:val="21"/>
                <w:vertAlign w:val="subscript"/>
              </w:rPr>
              <w:t>11</w:t>
            </w:r>
            <w:bookmarkEnd w:id="229"/>
          </w:p>
        </w:tc>
        <w:tc>
          <w:tcPr>
            <w:tcW w:w="4157" w:type="dxa"/>
            <w:tcBorders>
              <w:top w:val="single" w:color="auto" w:sz="4" w:space="0"/>
            </w:tcBorders>
            <w:vAlign w:val="center"/>
          </w:tcPr>
          <w:p w14:paraId="11F02A7E">
            <w:pPr>
              <w:snapToGrid w:val="0"/>
              <w:spacing w:line="240" w:lineRule="auto"/>
              <w:ind w:firstLine="0" w:firstLineChars="0"/>
              <w:jc w:val="center"/>
              <w:rPr>
                <w:sz w:val="21"/>
              </w:rPr>
            </w:pPr>
            <w:r>
              <w:rPr>
                <w:sz w:val="21"/>
                <w:szCs w:val="21"/>
              </w:rPr>
              <w:t>流动资产/流动负债</w:t>
            </w:r>
          </w:p>
        </w:tc>
      </w:tr>
      <w:tr w14:paraId="25955C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continue"/>
            <w:vAlign w:val="center"/>
          </w:tcPr>
          <w:p w14:paraId="610F7A9C">
            <w:pPr>
              <w:snapToGrid w:val="0"/>
              <w:spacing w:line="240" w:lineRule="auto"/>
              <w:ind w:firstLine="0" w:firstLineChars="0"/>
              <w:jc w:val="center"/>
              <w:rPr>
                <w:sz w:val="21"/>
              </w:rPr>
            </w:pPr>
          </w:p>
        </w:tc>
        <w:tc>
          <w:tcPr>
            <w:tcW w:w="2493" w:type="dxa"/>
            <w:vAlign w:val="center"/>
          </w:tcPr>
          <w:p w14:paraId="29DF9641">
            <w:pPr>
              <w:snapToGrid w:val="0"/>
              <w:spacing w:line="240" w:lineRule="auto"/>
              <w:ind w:firstLine="0" w:firstLineChars="0"/>
              <w:jc w:val="center"/>
              <w:rPr>
                <w:sz w:val="21"/>
              </w:rPr>
            </w:pPr>
            <w:r>
              <w:rPr>
                <w:rFonts w:hint="eastAsia"/>
                <w:sz w:val="21"/>
                <w:szCs w:val="21"/>
              </w:rPr>
              <w:t>资产负债率</w:t>
            </w:r>
            <w:bookmarkStart w:id="230" w:name="OLE_LINK65"/>
            <w:r>
              <w:rPr>
                <w:rFonts w:hint="eastAsia"/>
                <w:sz w:val="21"/>
                <w:szCs w:val="21"/>
              </w:rPr>
              <w:t>X</w:t>
            </w:r>
            <w:r>
              <w:rPr>
                <w:rFonts w:hint="eastAsia"/>
                <w:sz w:val="21"/>
                <w:szCs w:val="21"/>
                <w:vertAlign w:val="subscript"/>
              </w:rPr>
              <w:t>12</w:t>
            </w:r>
            <w:bookmarkEnd w:id="230"/>
          </w:p>
        </w:tc>
        <w:tc>
          <w:tcPr>
            <w:tcW w:w="4157" w:type="dxa"/>
            <w:vAlign w:val="center"/>
          </w:tcPr>
          <w:p w14:paraId="0193FE74">
            <w:pPr>
              <w:snapToGrid w:val="0"/>
              <w:spacing w:line="240" w:lineRule="auto"/>
              <w:ind w:firstLine="0" w:firstLineChars="0"/>
              <w:jc w:val="center"/>
              <w:rPr>
                <w:sz w:val="21"/>
              </w:rPr>
            </w:pPr>
            <w:r>
              <w:rPr>
                <w:sz w:val="21"/>
                <w:szCs w:val="21"/>
              </w:rPr>
              <w:t>总负债/总资产</w:t>
            </w:r>
          </w:p>
        </w:tc>
      </w:tr>
      <w:tr w14:paraId="68A793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restart"/>
            <w:tcBorders>
              <w:tl2br w:val="nil"/>
              <w:tr2bl w:val="nil"/>
            </w:tcBorders>
            <w:vAlign w:val="center"/>
          </w:tcPr>
          <w:p w14:paraId="6E0B0C84">
            <w:pPr>
              <w:snapToGrid w:val="0"/>
              <w:spacing w:line="240" w:lineRule="auto"/>
              <w:ind w:firstLine="0" w:firstLineChars="0"/>
              <w:jc w:val="center"/>
              <w:rPr>
                <w:sz w:val="21"/>
              </w:rPr>
            </w:pPr>
            <w:r>
              <w:rPr>
                <w:rFonts w:hint="eastAsia"/>
                <w:sz w:val="21"/>
                <w:szCs w:val="21"/>
              </w:rPr>
              <w:t>营运能力X</w:t>
            </w:r>
            <w:r>
              <w:rPr>
                <w:rFonts w:hint="eastAsia"/>
                <w:sz w:val="21"/>
                <w:szCs w:val="21"/>
                <w:vertAlign w:val="subscript"/>
              </w:rPr>
              <w:t>2</w:t>
            </w:r>
          </w:p>
        </w:tc>
        <w:tc>
          <w:tcPr>
            <w:tcW w:w="2493" w:type="dxa"/>
            <w:tcBorders>
              <w:tl2br w:val="nil"/>
              <w:tr2bl w:val="nil"/>
            </w:tcBorders>
            <w:vAlign w:val="center"/>
          </w:tcPr>
          <w:p w14:paraId="38EC241E">
            <w:pPr>
              <w:snapToGrid w:val="0"/>
              <w:spacing w:line="240" w:lineRule="auto"/>
              <w:ind w:firstLine="0" w:firstLineChars="0"/>
              <w:jc w:val="center"/>
              <w:rPr>
                <w:sz w:val="21"/>
              </w:rPr>
            </w:pPr>
            <w:r>
              <w:rPr>
                <w:rFonts w:hint="eastAsia"/>
                <w:sz w:val="21"/>
                <w:szCs w:val="21"/>
              </w:rPr>
              <w:t>应收账款周转率X</w:t>
            </w:r>
            <w:r>
              <w:rPr>
                <w:rFonts w:hint="eastAsia"/>
                <w:sz w:val="21"/>
                <w:szCs w:val="21"/>
                <w:vertAlign w:val="subscript"/>
              </w:rPr>
              <w:t>21</w:t>
            </w:r>
          </w:p>
        </w:tc>
        <w:tc>
          <w:tcPr>
            <w:tcW w:w="4157" w:type="dxa"/>
            <w:tcBorders>
              <w:tl2br w:val="nil"/>
              <w:tr2bl w:val="nil"/>
            </w:tcBorders>
            <w:vAlign w:val="center"/>
          </w:tcPr>
          <w:p w14:paraId="56327461">
            <w:pPr>
              <w:snapToGrid w:val="0"/>
              <w:spacing w:line="240" w:lineRule="auto"/>
              <w:ind w:firstLine="0" w:firstLineChars="0"/>
              <w:jc w:val="center"/>
              <w:rPr>
                <w:sz w:val="21"/>
              </w:rPr>
            </w:pPr>
            <w:r>
              <w:rPr>
                <w:sz w:val="21"/>
                <w:szCs w:val="21"/>
              </w:rPr>
              <w:t>营业收入/平均应收账款余额</w:t>
            </w:r>
          </w:p>
        </w:tc>
      </w:tr>
      <w:tr w14:paraId="701FD4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continue"/>
            <w:tcBorders>
              <w:tl2br w:val="nil"/>
              <w:tr2bl w:val="nil"/>
            </w:tcBorders>
            <w:vAlign w:val="center"/>
          </w:tcPr>
          <w:p w14:paraId="7FC4A71D">
            <w:pPr>
              <w:snapToGrid w:val="0"/>
              <w:spacing w:line="240" w:lineRule="auto"/>
              <w:ind w:firstLine="0" w:firstLineChars="0"/>
              <w:jc w:val="center"/>
              <w:rPr>
                <w:sz w:val="21"/>
              </w:rPr>
            </w:pPr>
          </w:p>
        </w:tc>
        <w:tc>
          <w:tcPr>
            <w:tcW w:w="2493" w:type="dxa"/>
            <w:tcBorders>
              <w:tl2br w:val="nil"/>
              <w:tr2bl w:val="nil"/>
            </w:tcBorders>
            <w:vAlign w:val="center"/>
          </w:tcPr>
          <w:p w14:paraId="364BF7FA">
            <w:pPr>
              <w:snapToGrid w:val="0"/>
              <w:spacing w:line="240" w:lineRule="auto"/>
              <w:ind w:firstLine="0" w:firstLineChars="0"/>
              <w:jc w:val="center"/>
              <w:rPr>
                <w:sz w:val="21"/>
              </w:rPr>
            </w:pPr>
            <w:r>
              <w:rPr>
                <w:rFonts w:hint="eastAsia"/>
                <w:sz w:val="21"/>
                <w:szCs w:val="21"/>
              </w:rPr>
              <w:t>总资产周转率X</w:t>
            </w:r>
            <w:r>
              <w:rPr>
                <w:rFonts w:hint="eastAsia"/>
                <w:sz w:val="21"/>
                <w:szCs w:val="21"/>
                <w:vertAlign w:val="subscript"/>
              </w:rPr>
              <w:t>22</w:t>
            </w:r>
          </w:p>
        </w:tc>
        <w:tc>
          <w:tcPr>
            <w:tcW w:w="4157" w:type="dxa"/>
            <w:tcBorders>
              <w:tl2br w:val="nil"/>
              <w:tr2bl w:val="nil"/>
            </w:tcBorders>
            <w:vAlign w:val="center"/>
          </w:tcPr>
          <w:p w14:paraId="1B74EFCA">
            <w:pPr>
              <w:snapToGrid w:val="0"/>
              <w:spacing w:line="240" w:lineRule="auto"/>
              <w:ind w:firstLine="0" w:firstLineChars="0"/>
              <w:jc w:val="center"/>
              <w:rPr>
                <w:sz w:val="21"/>
              </w:rPr>
            </w:pPr>
            <w:r>
              <w:rPr>
                <w:sz w:val="21"/>
                <w:szCs w:val="21"/>
              </w:rPr>
              <w:t>营业收入</w:t>
            </w:r>
            <w:r>
              <w:rPr>
                <w:rFonts w:hint="eastAsia"/>
                <w:sz w:val="21"/>
                <w:szCs w:val="21"/>
              </w:rPr>
              <w:t>净额</w:t>
            </w:r>
            <w:r>
              <w:rPr>
                <w:sz w:val="21"/>
                <w:szCs w:val="21"/>
              </w:rPr>
              <w:t>/平均资产总额</w:t>
            </w:r>
          </w:p>
        </w:tc>
      </w:tr>
      <w:tr w14:paraId="4CD30D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restart"/>
            <w:tcBorders>
              <w:tl2br w:val="nil"/>
              <w:tr2bl w:val="nil"/>
            </w:tcBorders>
            <w:vAlign w:val="center"/>
          </w:tcPr>
          <w:p w14:paraId="101B9A3E">
            <w:pPr>
              <w:snapToGrid w:val="0"/>
              <w:spacing w:line="240" w:lineRule="auto"/>
              <w:ind w:firstLine="0" w:firstLineChars="0"/>
              <w:jc w:val="center"/>
              <w:rPr>
                <w:sz w:val="21"/>
              </w:rPr>
            </w:pPr>
            <w:r>
              <w:rPr>
                <w:rFonts w:hint="eastAsia"/>
                <w:sz w:val="21"/>
                <w:szCs w:val="21"/>
              </w:rPr>
              <w:t>盈利能力</w:t>
            </w:r>
            <w:bookmarkStart w:id="231" w:name="OLE_LINK61"/>
            <w:r>
              <w:rPr>
                <w:rFonts w:hint="eastAsia"/>
                <w:sz w:val="21"/>
                <w:szCs w:val="21"/>
              </w:rPr>
              <w:t>X</w:t>
            </w:r>
            <w:r>
              <w:rPr>
                <w:rFonts w:hint="eastAsia"/>
                <w:sz w:val="21"/>
                <w:szCs w:val="21"/>
                <w:vertAlign w:val="subscript"/>
              </w:rPr>
              <w:t>3</w:t>
            </w:r>
            <w:bookmarkEnd w:id="231"/>
          </w:p>
        </w:tc>
        <w:tc>
          <w:tcPr>
            <w:tcW w:w="2493" w:type="dxa"/>
            <w:tcBorders>
              <w:tl2br w:val="nil"/>
              <w:tr2bl w:val="nil"/>
            </w:tcBorders>
            <w:vAlign w:val="center"/>
          </w:tcPr>
          <w:p w14:paraId="0DF8F28D">
            <w:pPr>
              <w:snapToGrid w:val="0"/>
              <w:spacing w:line="240" w:lineRule="auto"/>
              <w:ind w:firstLine="0" w:firstLineChars="0"/>
              <w:jc w:val="center"/>
              <w:rPr>
                <w:sz w:val="21"/>
              </w:rPr>
            </w:pPr>
            <w:r>
              <w:rPr>
                <w:rFonts w:hint="eastAsia"/>
                <w:sz w:val="21"/>
                <w:szCs w:val="21"/>
              </w:rPr>
              <w:t>营业毛利率</w:t>
            </w:r>
            <w:bookmarkStart w:id="232" w:name="OLE_LINK105"/>
            <w:r>
              <w:rPr>
                <w:rFonts w:hint="eastAsia"/>
                <w:sz w:val="21"/>
                <w:szCs w:val="21"/>
              </w:rPr>
              <w:t>X</w:t>
            </w:r>
            <w:r>
              <w:rPr>
                <w:rFonts w:hint="eastAsia"/>
                <w:sz w:val="21"/>
                <w:szCs w:val="21"/>
                <w:vertAlign w:val="subscript"/>
              </w:rPr>
              <w:t>31</w:t>
            </w:r>
            <w:bookmarkEnd w:id="232"/>
          </w:p>
        </w:tc>
        <w:tc>
          <w:tcPr>
            <w:tcW w:w="4157" w:type="dxa"/>
            <w:tcBorders>
              <w:tl2br w:val="nil"/>
              <w:tr2bl w:val="nil"/>
            </w:tcBorders>
            <w:vAlign w:val="center"/>
          </w:tcPr>
          <w:p w14:paraId="227DBD47">
            <w:pPr>
              <w:snapToGrid w:val="0"/>
              <w:spacing w:line="240" w:lineRule="auto"/>
              <w:ind w:firstLine="0" w:firstLineChars="0"/>
              <w:jc w:val="center"/>
              <w:rPr>
                <w:sz w:val="21"/>
              </w:rPr>
            </w:pPr>
            <w:r>
              <w:rPr>
                <w:sz w:val="21"/>
              </w:rPr>
              <w:t>营业毛利/营业收入</w:t>
            </w:r>
          </w:p>
        </w:tc>
      </w:tr>
      <w:tr w14:paraId="54E3FD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continue"/>
            <w:tcBorders>
              <w:tl2br w:val="nil"/>
              <w:tr2bl w:val="nil"/>
            </w:tcBorders>
            <w:vAlign w:val="center"/>
          </w:tcPr>
          <w:p w14:paraId="57AC927E">
            <w:pPr>
              <w:snapToGrid w:val="0"/>
              <w:spacing w:line="240" w:lineRule="auto"/>
              <w:ind w:firstLine="0" w:firstLineChars="0"/>
              <w:jc w:val="center"/>
              <w:rPr>
                <w:sz w:val="21"/>
                <w:szCs w:val="21"/>
              </w:rPr>
            </w:pPr>
          </w:p>
        </w:tc>
        <w:tc>
          <w:tcPr>
            <w:tcW w:w="2493" w:type="dxa"/>
            <w:tcBorders>
              <w:tl2br w:val="nil"/>
              <w:tr2bl w:val="nil"/>
            </w:tcBorders>
            <w:vAlign w:val="center"/>
          </w:tcPr>
          <w:p w14:paraId="127CD93F">
            <w:pPr>
              <w:snapToGrid w:val="0"/>
              <w:spacing w:line="240" w:lineRule="auto"/>
              <w:ind w:firstLine="0" w:firstLineChars="0"/>
              <w:jc w:val="center"/>
              <w:rPr>
                <w:sz w:val="21"/>
                <w:szCs w:val="21"/>
              </w:rPr>
            </w:pPr>
            <w:r>
              <w:rPr>
                <w:rFonts w:hint="eastAsia"/>
                <w:sz w:val="21"/>
                <w:szCs w:val="21"/>
              </w:rPr>
              <w:t>净资产收益率</w:t>
            </w:r>
            <w:bookmarkStart w:id="233" w:name="OLE_LINK139"/>
            <w:r>
              <w:rPr>
                <w:rFonts w:hint="eastAsia"/>
                <w:sz w:val="21"/>
                <w:szCs w:val="21"/>
              </w:rPr>
              <w:t>X</w:t>
            </w:r>
            <w:r>
              <w:rPr>
                <w:rFonts w:hint="eastAsia"/>
                <w:sz w:val="21"/>
                <w:szCs w:val="21"/>
                <w:vertAlign w:val="subscript"/>
              </w:rPr>
              <w:t>32</w:t>
            </w:r>
            <w:bookmarkEnd w:id="233"/>
          </w:p>
        </w:tc>
        <w:tc>
          <w:tcPr>
            <w:tcW w:w="4157" w:type="dxa"/>
            <w:tcBorders>
              <w:tl2br w:val="nil"/>
              <w:tr2bl w:val="nil"/>
            </w:tcBorders>
            <w:vAlign w:val="center"/>
          </w:tcPr>
          <w:p w14:paraId="5AA707D3">
            <w:pPr>
              <w:snapToGrid w:val="0"/>
              <w:spacing w:line="240" w:lineRule="auto"/>
              <w:ind w:firstLine="0" w:firstLineChars="0"/>
              <w:jc w:val="center"/>
              <w:rPr>
                <w:sz w:val="21"/>
                <w:szCs w:val="21"/>
              </w:rPr>
            </w:pPr>
            <w:r>
              <w:rPr>
                <w:sz w:val="21"/>
                <w:szCs w:val="21"/>
              </w:rPr>
              <w:t>净利润/平均净资产</w:t>
            </w:r>
          </w:p>
        </w:tc>
      </w:tr>
      <w:tr w14:paraId="185F8D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restart"/>
            <w:tcBorders>
              <w:tl2br w:val="nil"/>
              <w:tr2bl w:val="nil"/>
            </w:tcBorders>
            <w:vAlign w:val="center"/>
          </w:tcPr>
          <w:p w14:paraId="4980D4CB">
            <w:pPr>
              <w:snapToGrid w:val="0"/>
              <w:spacing w:line="240" w:lineRule="auto"/>
              <w:ind w:firstLine="0" w:firstLineChars="0"/>
              <w:jc w:val="center"/>
              <w:rPr>
                <w:sz w:val="21"/>
              </w:rPr>
            </w:pPr>
            <w:r>
              <w:rPr>
                <w:rFonts w:hint="eastAsia"/>
                <w:sz w:val="21"/>
                <w:szCs w:val="21"/>
              </w:rPr>
              <w:t>发展能力X</w:t>
            </w:r>
            <w:r>
              <w:rPr>
                <w:rFonts w:hint="eastAsia"/>
                <w:sz w:val="21"/>
                <w:szCs w:val="21"/>
                <w:vertAlign w:val="subscript"/>
              </w:rPr>
              <w:t>4</w:t>
            </w:r>
          </w:p>
        </w:tc>
        <w:tc>
          <w:tcPr>
            <w:tcW w:w="2493" w:type="dxa"/>
            <w:tcBorders>
              <w:tl2br w:val="nil"/>
              <w:tr2bl w:val="nil"/>
            </w:tcBorders>
            <w:vAlign w:val="center"/>
          </w:tcPr>
          <w:p w14:paraId="6E70398C">
            <w:pPr>
              <w:snapToGrid w:val="0"/>
              <w:spacing w:line="240" w:lineRule="auto"/>
              <w:ind w:firstLine="0" w:firstLineChars="0"/>
              <w:jc w:val="center"/>
              <w:rPr>
                <w:sz w:val="21"/>
              </w:rPr>
            </w:pPr>
            <w:r>
              <w:rPr>
                <w:rFonts w:hint="eastAsia"/>
                <w:sz w:val="21"/>
                <w:szCs w:val="21"/>
              </w:rPr>
              <w:t>所有者权益增长率</w:t>
            </w:r>
            <w:bookmarkStart w:id="234" w:name="OLE_LINK173"/>
            <w:r>
              <w:rPr>
                <w:rFonts w:hint="eastAsia"/>
                <w:sz w:val="21"/>
                <w:szCs w:val="21"/>
              </w:rPr>
              <w:t>X</w:t>
            </w:r>
            <w:r>
              <w:rPr>
                <w:rFonts w:hint="eastAsia"/>
                <w:sz w:val="21"/>
                <w:szCs w:val="21"/>
                <w:vertAlign w:val="subscript"/>
              </w:rPr>
              <w:t>41</w:t>
            </w:r>
            <w:bookmarkEnd w:id="234"/>
          </w:p>
        </w:tc>
        <w:tc>
          <w:tcPr>
            <w:tcW w:w="4157" w:type="dxa"/>
            <w:tcBorders>
              <w:tl2br w:val="nil"/>
              <w:tr2bl w:val="nil"/>
            </w:tcBorders>
            <w:vAlign w:val="center"/>
          </w:tcPr>
          <w:p w14:paraId="625CACD7">
            <w:pPr>
              <w:snapToGrid w:val="0"/>
              <w:spacing w:line="240" w:lineRule="auto"/>
              <w:ind w:firstLine="0" w:firstLineChars="0"/>
              <w:jc w:val="center"/>
              <w:rPr>
                <w:sz w:val="21"/>
              </w:rPr>
            </w:pPr>
            <w:r>
              <w:rPr>
                <w:sz w:val="21"/>
              </w:rPr>
              <w:t>本年所有者权益增长额/年初所有者权益</w:t>
            </w:r>
          </w:p>
        </w:tc>
      </w:tr>
      <w:tr w14:paraId="102976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6" w:type="dxa"/>
            <w:vMerge w:val="continue"/>
            <w:tcBorders>
              <w:tl2br w:val="nil"/>
              <w:tr2bl w:val="nil"/>
            </w:tcBorders>
            <w:vAlign w:val="center"/>
          </w:tcPr>
          <w:p w14:paraId="24B2D024">
            <w:pPr>
              <w:snapToGrid w:val="0"/>
              <w:spacing w:line="240" w:lineRule="auto"/>
              <w:ind w:firstLine="0" w:firstLineChars="0"/>
              <w:jc w:val="center"/>
              <w:rPr>
                <w:sz w:val="21"/>
                <w:szCs w:val="21"/>
              </w:rPr>
            </w:pPr>
          </w:p>
        </w:tc>
        <w:tc>
          <w:tcPr>
            <w:tcW w:w="2493" w:type="dxa"/>
            <w:tcBorders>
              <w:tl2br w:val="nil"/>
              <w:tr2bl w:val="nil"/>
            </w:tcBorders>
            <w:vAlign w:val="center"/>
          </w:tcPr>
          <w:p w14:paraId="7AE7B331">
            <w:pPr>
              <w:snapToGrid w:val="0"/>
              <w:spacing w:line="240" w:lineRule="auto"/>
              <w:ind w:firstLine="0" w:firstLineChars="0"/>
              <w:jc w:val="center"/>
              <w:rPr>
                <w:sz w:val="21"/>
                <w:szCs w:val="21"/>
              </w:rPr>
            </w:pPr>
            <w:r>
              <w:rPr>
                <w:rFonts w:hint="eastAsia"/>
                <w:sz w:val="21"/>
                <w:szCs w:val="21"/>
              </w:rPr>
              <w:t>营业收入增长率</w:t>
            </w:r>
            <w:bookmarkStart w:id="235" w:name="OLE_LINK176"/>
            <w:r>
              <w:rPr>
                <w:rFonts w:hint="eastAsia"/>
                <w:sz w:val="21"/>
                <w:szCs w:val="21"/>
              </w:rPr>
              <w:t>X</w:t>
            </w:r>
            <w:r>
              <w:rPr>
                <w:rFonts w:hint="eastAsia"/>
                <w:sz w:val="21"/>
                <w:szCs w:val="21"/>
                <w:vertAlign w:val="subscript"/>
              </w:rPr>
              <w:t>42</w:t>
            </w:r>
            <w:bookmarkEnd w:id="235"/>
          </w:p>
        </w:tc>
        <w:tc>
          <w:tcPr>
            <w:tcW w:w="4157" w:type="dxa"/>
            <w:tcBorders>
              <w:tl2br w:val="nil"/>
              <w:tr2bl w:val="nil"/>
            </w:tcBorders>
            <w:vAlign w:val="center"/>
          </w:tcPr>
          <w:p w14:paraId="25D24EE5">
            <w:pPr>
              <w:snapToGrid w:val="0"/>
              <w:spacing w:line="240" w:lineRule="auto"/>
              <w:ind w:firstLine="0" w:firstLineChars="0"/>
              <w:jc w:val="center"/>
              <w:rPr>
                <w:sz w:val="21"/>
                <w:szCs w:val="21"/>
              </w:rPr>
            </w:pPr>
            <w:r>
              <w:rPr>
                <w:sz w:val="21"/>
                <w:szCs w:val="21"/>
              </w:rPr>
              <w:t>营业收入增长额/上年营业收入总额</w:t>
            </w:r>
          </w:p>
        </w:tc>
      </w:tr>
    </w:tbl>
    <w:p w14:paraId="21C0F32B">
      <w:pPr>
        <w:ind w:left="1200" w:hanging="720" w:firstLineChars="0"/>
        <w:rPr>
          <w:rFonts w:ascii="Segoe UI" w:hAnsi="Segoe UI" w:cs="Segoe UI"/>
          <w:color w:val="0F1115"/>
          <w:shd w:val="clear" w:color="auto" w:fill="FFFFFF"/>
        </w:rPr>
      </w:pPr>
      <w:r>
        <w:rPr>
          <w:rFonts w:hint="eastAsia" w:ascii="Segoe UI" w:hAnsi="Segoe UI" w:cs="Segoe UI"/>
          <w:color w:val="0F1115"/>
          <w:shd w:val="clear" w:color="auto" w:fill="FFFFFF"/>
        </w:rPr>
        <w:t>（</w:t>
      </w:r>
      <w:r>
        <w:rPr>
          <w:color w:val="0F1115"/>
          <w:shd w:val="clear" w:color="auto" w:fill="FFFFFF"/>
        </w:rPr>
        <w:t>2</w:t>
      </w:r>
      <w:r>
        <w:rPr>
          <w:rFonts w:hint="eastAsia" w:ascii="Segoe UI" w:hAnsi="Segoe UI" w:cs="Segoe UI"/>
          <w:color w:val="0F1115"/>
          <w:shd w:val="clear" w:color="auto" w:fill="FFFFFF"/>
        </w:rPr>
        <w:t>）计算财务绩效评价指标的权重</w:t>
      </w:r>
    </w:p>
    <w:p w14:paraId="023D8307">
      <w:pPr>
        <w:ind w:firstLine="480"/>
        <w:rPr>
          <w:rFonts w:ascii="Segoe UI" w:hAnsi="Segoe UI" w:cs="Segoe UI"/>
          <w:color w:val="0F1115"/>
          <w:shd w:val="clear" w:color="auto" w:fill="FFFFFF"/>
        </w:rPr>
      </w:pPr>
      <w:r>
        <w:rPr>
          <w:rFonts w:hint="eastAsia" w:ascii="Segoe UI" w:hAnsi="Segoe UI" w:cs="Segoe UI"/>
          <w:color w:val="0F1115"/>
          <w:shd w:val="clear" w:color="auto" w:fill="FFFFFF"/>
        </w:rPr>
        <w:t>采用标准化方法对川能动力的财务数据进行预处理，根据信息熵原理建立评价指标体系，然后确定各个财务指标的具体权重。</w:t>
      </w:r>
    </w:p>
    <w:p w14:paraId="0CD8652F">
      <w:pPr>
        <w:pStyle w:val="6"/>
        <w:keepNext/>
        <w:spacing w:before="156" w:after="156"/>
        <w:ind w:firstLine="422"/>
      </w:pPr>
      <w:bookmarkStart w:id="236" w:name="_Ref15920"/>
      <w:r>
        <w:t>表3.</w:t>
      </w:r>
      <w:r>
        <w:fldChar w:fldCharType="begin"/>
      </w:r>
      <w:r>
        <w:instrText xml:space="preserve"> SEQ 表3. \* ARABIC </w:instrText>
      </w:r>
      <w:r>
        <w:fldChar w:fldCharType="separate"/>
      </w:r>
      <w:r>
        <w:t>2</w:t>
      </w:r>
      <w:r>
        <w:fldChar w:fldCharType="end"/>
      </w:r>
      <w:bookmarkEnd w:id="236"/>
      <w:bookmarkStart w:id="237" w:name="_Ref229263106"/>
      <w:bookmarkStart w:id="238" w:name="OLE_LINK103"/>
      <w:r>
        <w:rPr>
          <w:rFonts w:hint="eastAsia"/>
        </w:rPr>
        <w:t xml:space="preserve">  熵值法计算的指标权重</w:t>
      </w:r>
      <w:bookmarkEnd w:id="237"/>
      <w:bookmarkEnd w:id="238"/>
    </w:p>
    <w:tbl>
      <w:tblPr>
        <w:tblStyle w:val="20"/>
        <w:tblW w:w="83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2"/>
        <w:gridCol w:w="2479"/>
        <w:gridCol w:w="1942"/>
        <w:gridCol w:w="1943"/>
      </w:tblGrid>
      <w:tr w14:paraId="7A31D2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42" w:type="dxa"/>
            <w:tcBorders>
              <w:bottom w:val="single" w:color="auto" w:sz="4" w:space="0"/>
              <w:tl2br w:val="nil"/>
              <w:tr2bl w:val="nil"/>
            </w:tcBorders>
            <w:tcMar>
              <w:top w:w="-1" w:type="dxa"/>
              <w:left w:w="-1" w:type="dxa"/>
              <w:bottom w:w="-1" w:type="dxa"/>
              <w:right w:w="-1" w:type="dxa"/>
            </w:tcMar>
            <w:vAlign w:val="center"/>
          </w:tcPr>
          <w:p w14:paraId="64AE740C">
            <w:pPr>
              <w:snapToGrid w:val="0"/>
              <w:spacing w:line="240" w:lineRule="auto"/>
              <w:ind w:firstLine="0" w:firstLineChars="0"/>
              <w:jc w:val="center"/>
              <w:rPr>
                <w:b/>
                <w:sz w:val="21"/>
                <w:szCs w:val="18"/>
              </w:rPr>
            </w:pPr>
            <w:r>
              <w:rPr>
                <w:rFonts w:hint="eastAsia"/>
                <w:b/>
                <w:sz w:val="21"/>
                <w:szCs w:val="21"/>
              </w:rPr>
              <w:t>一级财务指标</w:t>
            </w:r>
          </w:p>
        </w:tc>
        <w:tc>
          <w:tcPr>
            <w:tcW w:w="2479" w:type="dxa"/>
            <w:tcBorders>
              <w:bottom w:val="single" w:color="auto" w:sz="4" w:space="0"/>
              <w:tl2br w:val="nil"/>
              <w:tr2bl w:val="nil"/>
            </w:tcBorders>
            <w:tcMar>
              <w:top w:w="-1" w:type="dxa"/>
              <w:left w:w="-1" w:type="dxa"/>
              <w:bottom w:w="-1" w:type="dxa"/>
              <w:right w:w="-1" w:type="dxa"/>
            </w:tcMar>
            <w:vAlign w:val="center"/>
          </w:tcPr>
          <w:p w14:paraId="13A6D522">
            <w:pPr>
              <w:snapToGrid w:val="0"/>
              <w:spacing w:line="240" w:lineRule="auto"/>
              <w:ind w:firstLine="0" w:firstLineChars="0"/>
              <w:jc w:val="center"/>
              <w:rPr>
                <w:b/>
                <w:sz w:val="21"/>
                <w:szCs w:val="18"/>
              </w:rPr>
            </w:pPr>
            <w:r>
              <w:rPr>
                <w:rFonts w:hint="eastAsia"/>
                <w:b/>
                <w:sz w:val="21"/>
                <w:szCs w:val="21"/>
              </w:rPr>
              <w:t>二级财务指标</w:t>
            </w:r>
          </w:p>
        </w:tc>
        <w:tc>
          <w:tcPr>
            <w:tcW w:w="1942" w:type="dxa"/>
            <w:tcBorders>
              <w:bottom w:val="single" w:color="auto" w:sz="4" w:space="0"/>
              <w:tl2br w:val="nil"/>
              <w:tr2bl w:val="nil"/>
            </w:tcBorders>
            <w:tcMar>
              <w:top w:w="-1" w:type="dxa"/>
              <w:left w:w="-1" w:type="dxa"/>
              <w:bottom w:w="-1" w:type="dxa"/>
              <w:right w:w="-1" w:type="dxa"/>
            </w:tcMar>
            <w:vAlign w:val="center"/>
          </w:tcPr>
          <w:p w14:paraId="024B294F">
            <w:pPr>
              <w:snapToGrid w:val="0"/>
              <w:spacing w:line="240" w:lineRule="auto"/>
              <w:ind w:firstLine="0" w:firstLineChars="0"/>
              <w:jc w:val="center"/>
              <w:rPr>
                <w:b/>
                <w:sz w:val="21"/>
                <w:szCs w:val="18"/>
              </w:rPr>
            </w:pPr>
            <w:r>
              <w:rPr>
                <w:rFonts w:hint="eastAsia"/>
                <w:b/>
                <w:sz w:val="21"/>
                <w:szCs w:val="21"/>
              </w:rPr>
              <w:t>二级指标权重</w:t>
            </w:r>
          </w:p>
        </w:tc>
        <w:tc>
          <w:tcPr>
            <w:tcW w:w="1943" w:type="dxa"/>
            <w:tcBorders>
              <w:bottom w:val="single" w:color="auto" w:sz="4" w:space="0"/>
              <w:tl2br w:val="nil"/>
              <w:tr2bl w:val="nil"/>
            </w:tcBorders>
            <w:tcMar>
              <w:top w:w="-1" w:type="dxa"/>
              <w:left w:w="-1" w:type="dxa"/>
              <w:bottom w:w="-1" w:type="dxa"/>
              <w:right w:w="-1" w:type="dxa"/>
            </w:tcMar>
            <w:vAlign w:val="center"/>
          </w:tcPr>
          <w:p w14:paraId="187C78C5">
            <w:pPr>
              <w:snapToGrid w:val="0"/>
              <w:spacing w:line="240" w:lineRule="auto"/>
              <w:ind w:firstLine="0" w:firstLineChars="0"/>
              <w:jc w:val="center"/>
              <w:rPr>
                <w:b/>
                <w:sz w:val="21"/>
                <w:szCs w:val="18"/>
              </w:rPr>
            </w:pPr>
            <w:r>
              <w:rPr>
                <w:rFonts w:hint="eastAsia"/>
                <w:b/>
                <w:sz w:val="21"/>
                <w:szCs w:val="21"/>
              </w:rPr>
              <w:t>一级指标权重</w:t>
            </w:r>
          </w:p>
        </w:tc>
      </w:tr>
      <w:tr w14:paraId="45F78D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restart"/>
            <w:tcBorders>
              <w:top w:val="single" w:color="auto" w:sz="4" w:space="0"/>
              <w:bottom w:val="nil"/>
              <w:tl2br w:val="nil"/>
              <w:tr2bl w:val="nil"/>
            </w:tcBorders>
            <w:tcMar>
              <w:top w:w="-1" w:type="dxa"/>
              <w:left w:w="-1" w:type="dxa"/>
              <w:bottom w:w="-1" w:type="dxa"/>
              <w:right w:w="-1" w:type="dxa"/>
            </w:tcMar>
            <w:vAlign w:val="center"/>
          </w:tcPr>
          <w:p w14:paraId="64641936">
            <w:pPr>
              <w:snapToGrid w:val="0"/>
              <w:spacing w:line="240" w:lineRule="auto"/>
              <w:ind w:firstLine="0" w:firstLineChars="0"/>
              <w:jc w:val="center"/>
              <w:rPr>
                <w:sz w:val="21"/>
                <w:szCs w:val="18"/>
                <w:vertAlign w:val="subscript"/>
              </w:rPr>
            </w:pPr>
            <w:r>
              <w:rPr>
                <w:rFonts w:hint="eastAsia"/>
                <w:sz w:val="21"/>
                <w:szCs w:val="21"/>
              </w:rPr>
              <w:t>偿债能力X</w:t>
            </w:r>
            <w:r>
              <w:rPr>
                <w:rFonts w:hint="eastAsia"/>
                <w:sz w:val="21"/>
                <w:szCs w:val="21"/>
                <w:vertAlign w:val="subscript"/>
              </w:rPr>
              <w:t>1</w:t>
            </w:r>
          </w:p>
        </w:tc>
        <w:tc>
          <w:tcPr>
            <w:tcW w:w="2479" w:type="dxa"/>
            <w:tcBorders>
              <w:top w:val="single" w:color="auto" w:sz="4" w:space="0"/>
              <w:bottom w:val="nil"/>
              <w:tl2br w:val="nil"/>
              <w:tr2bl w:val="nil"/>
            </w:tcBorders>
            <w:tcMar>
              <w:top w:w="-1" w:type="dxa"/>
              <w:left w:w="-1" w:type="dxa"/>
              <w:bottom w:w="-1" w:type="dxa"/>
              <w:right w:w="-1" w:type="dxa"/>
            </w:tcMar>
            <w:vAlign w:val="center"/>
          </w:tcPr>
          <w:p w14:paraId="6F2821BA">
            <w:pPr>
              <w:snapToGrid w:val="0"/>
              <w:spacing w:line="240" w:lineRule="auto"/>
              <w:ind w:firstLine="0" w:firstLineChars="0"/>
              <w:jc w:val="center"/>
              <w:rPr>
                <w:sz w:val="21"/>
                <w:szCs w:val="18"/>
              </w:rPr>
            </w:pPr>
            <w:r>
              <w:rPr>
                <w:rFonts w:hint="eastAsia"/>
                <w:sz w:val="21"/>
                <w:szCs w:val="21"/>
              </w:rPr>
              <w:t>流动比率X</w:t>
            </w:r>
            <w:r>
              <w:rPr>
                <w:rFonts w:hint="eastAsia"/>
                <w:sz w:val="21"/>
                <w:szCs w:val="21"/>
                <w:vertAlign w:val="subscript"/>
              </w:rPr>
              <w:t>11</w:t>
            </w:r>
          </w:p>
        </w:tc>
        <w:tc>
          <w:tcPr>
            <w:tcW w:w="1942" w:type="dxa"/>
            <w:tcBorders>
              <w:top w:val="single" w:color="auto" w:sz="4" w:space="0"/>
              <w:bottom w:val="nil"/>
              <w:tl2br w:val="nil"/>
              <w:tr2bl w:val="nil"/>
            </w:tcBorders>
            <w:tcMar>
              <w:top w:w="-1" w:type="dxa"/>
              <w:left w:w="-1" w:type="dxa"/>
              <w:bottom w:w="-1" w:type="dxa"/>
              <w:right w:w="-1" w:type="dxa"/>
            </w:tcMar>
            <w:vAlign w:val="center"/>
          </w:tcPr>
          <w:p w14:paraId="71A2D919">
            <w:pPr>
              <w:snapToGrid w:val="0"/>
              <w:spacing w:line="240" w:lineRule="auto"/>
              <w:ind w:firstLine="0" w:firstLineChars="0"/>
              <w:jc w:val="center"/>
              <w:rPr>
                <w:sz w:val="21"/>
                <w:szCs w:val="18"/>
              </w:rPr>
            </w:pPr>
            <w:r>
              <w:rPr>
                <w:rFonts w:hint="eastAsia"/>
                <w:color w:val="0F1115"/>
                <w:sz w:val="21"/>
                <w:szCs w:val="21"/>
                <w:shd w:val="clear" w:color="auto" w:fill="FFFFFF"/>
              </w:rPr>
              <w:t>9.07</w:t>
            </w:r>
            <w:r>
              <w:rPr>
                <w:color w:val="0F1115"/>
                <w:sz w:val="21"/>
                <w:szCs w:val="21"/>
                <w:shd w:val="clear" w:color="auto" w:fill="FFFFFF"/>
              </w:rPr>
              <w:t>%</w:t>
            </w:r>
          </w:p>
        </w:tc>
        <w:tc>
          <w:tcPr>
            <w:tcW w:w="1943" w:type="dxa"/>
            <w:vMerge w:val="restart"/>
            <w:tcBorders>
              <w:top w:val="single" w:color="auto" w:sz="4" w:space="0"/>
              <w:bottom w:val="nil"/>
              <w:tl2br w:val="nil"/>
              <w:tr2bl w:val="nil"/>
            </w:tcBorders>
            <w:tcMar>
              <w:top w:w="-1" w:type="dxa"/>
              <w:left w:w="-1" w:type="dxa"/>
              <w:bottom w:w="-1" w:type="dxa"/>
              <w:right w:w="-1" w:type="dxa"/>
            </w:tcMar>
            <w:vAlign w:val="center"/>
          </w:tcPr>
          <w:p w14:paraId="0F6F9017">
            <w:pPr>
              <w:snapToGrid w:val="0"/>
              <w:spacing w:line="240" w:lineRule="auto"/>
              <w:ind w:firstLine="0" w:firstLineChars="0"/>
              <w:jc w:val="center"/>
              <w:rPr>
                <w:sz w:val="21"/>
                <w:szCs w:val="18"/>
              </w:rPr>
            </w:pPr>
            <w:r>
              <w:rPr>
                <w:rFonts w:hint="eastAsia"/>
                <w:color w:val="0F1115"/>
                <w:sz w:val="21"/>
                <w:szCs w:val="21"/>
                <w:shd w:val="clear" w:color="auto" w:fill="FFFFFF"/>
              </w:rPr>
              <w:t>15.74%</w:t>
            </w:r>
          </w:p>
        </w:tc>
      </w:tr>
      <w:tr w14:paraId="67FD0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continue"/>
            <w:tcBorders>
              <w:top w:val="nil"/>
              <w:tl2br w:val="nil"/>
              <w:tr2bl w:val="nil"/>
            </w:tcBorders>
            <w:tcMar>
              <w:top w:w="-1" w:type="dxa"/>
              <w:left w:w="-1" w:type="dxa"/>
              <w:bottom w:w="-1" w:type="dxa"/>
              <w:right w:w="-1" w:type="dxa"/>
            </w:tcMar>
            <w:vAlign w:val="center"/>
          </w:tcPr>
          <w:p w14:paraId="44FC952F">
            <w:pPr>
              <w:snapToGrid w:val="0"/>
              <w:spacing w:line="240" w:lineRule="auto"/>
              <w:ind w:firstLine="0" w:firstLineChars="0"/>
              <w:jc w:val="center"/>
              <w:rPr>
                <w:sz w:val="21"/>
                <w:szCs w:val="18"/>
              </w:rPr>
            </w:pPr>
          </w:p>
        </w:tc>
        <w:tc>
          <w:tcPr>
            <w:tcW w:w="2479" w:type="dxa"/>
            <w:tcBorders>
              <w:top w:val="nil"/>
              <w:tl2br w:val="nil"/>
              <w:tr2bl w:val="nil"/>
            </w:tcBorders>
            <w:tcMar>
              <w:top w:w="-1" w:type="dxa"/>
              <w:left w:w="-1" w:type="dxa"/>
              <w:bottom w:w="-1" w:type="dxa"/>
              <w:right w:w="-1" w:type="dxa"/>
            </w:tcMar>
            <w:vAlign w:val="center"/>
          </w:tcPr>
          <w:p w14:paraId="28F40790">
            <w:pPr>
              <w:snapToGrid w:val="0"/>
              <w:spacing w:line="240" w:lineRule="auto"/>
              <w:ind w:firstLine="0" w:firstLineChars="0"/>
              <w:jc w:val="center"/>
              <w:rPr>
                <w:sz w:val="21"/>
                <w:szCs w:val="18"/>
              </w:rPr>
            </w:pPr>
            <w:r>
              <w:rPr>
                <w:rFonts w:hint="eastAsia"/>
                <w:sz w:val="21"/>
                <w:szCs w:val="21"/>
              </w:rPr>
              <w:t>资产负债率X</w:t>
            </w:r>
            <w:r>
              <w:rPr>
                <w:rFonts w:hint="eastAsia"/>
                <w:sz w:val="21"/>
                <w:szCs w:val="21"/>
                <w:vertAlign w:val="subscript"/>
              </w:rPr>
              <w:t>12</w:t>
            </w:r>
          </w:p>
        </w:tc>
        <w:tc>
          <w:tcPr>
            <w:tcW w:w="1942" w:type="dxa"/>
            <w:tcBorders>
              <w:top w:val="nil"/>
              <w:tl2br w:val="nil"/>
              <w:tr2bl w:val="nil"/>
            </w:tcBorders>
            <w:tcMar>
              <w:top w:w="-1" w:type="dxa"/>
              <w:left w:w="-1" w:type="dxa"/>
              <w:bottom w:w="-1" w:type="dxa"/>
              <w:right w:w="-1" w:type="dxa"/>
            </w:tcMar>
            <w:vAlign w:val="center"/>
          </w:tcPr>
          <w:p w14:paraId="34D2F0D6">
            <w:pPr>
              <w:snapToGrid w:val="0"/>
              <w:spacing w:line="240" w:lineRule="auto"/>
              <w:ind w:firstLine="0" w:firstLineChars="0"/>
              <w:jc w:val="center"/>
              <w:rPr>
                <w:sz w:val="21"/>
                <w:szCs w:val="18"/>
              </w:rPr>
            </w:pPr>
            <w:r>
              <w:rPr>
                <w:rFonts w:hint="eastAsia"/>
                <w:color w:val="0F1115"/>
                <w:sz w:val="21"/>
                <w:szCs w:val="21"/>
                <w:shd w:val="clear" w:color="auto" w:fill="FFFFFF"/>
              </w:rPr>
              <w:t>6.67%</w:t>
            </w:r>
          </w:p>
        </w:tc>
        <w:tc>
          <w:tcPr>
            <w:tcW w:w="1943" w:type="dxa"/>
            <w:vMerge w:val="continue"/>
            <w:tcBorders>
              <w:top w:val="nil"/>
              <w:tl2br w:val="nil"/>
              <w:tr2bl w:val="nil"/>
            </w:tcBorders>
            <w:tcMar>
              <w:top w:w="-1" w:type="dxa"/>
              <w:left w:w="-1" w:type="dxa"/>
              <w:bottom w:w="-1" w:type="dxa"/>
              <w:right w:w="-1" w:type="dxa"/>
            </w:tcMar>
            <w:vAlign w:val="center"/>
          </w:tcPr>
          <w:p w14:paraId="1B6E0D33">
            <w:pPr>
              <w:snapToGrid w:val="0"/>
              <w:spacing w:line="240" w:lineRule="auto"/>
              <w:ind w:firstLine="0" w:firstLineChars="0"/>
              <w:jc w:val="center"/>
              <w:rPr>
                <w:sz w:val="21"/>
                <w:szCs w:val="18"/>
              </w:rPr>
            </w:pPr>
          </w:p>
        </w:tc>
      </w:tr>
      <w:tr w14:paraId="10D5AC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restart"/>
            <w:tcBorders>
              <w:tl2br w:val="nil"/>
              <w:tr2bl w:val="nil"/>
            </w:tcBorders>
            <w:tcMar>
              <w:top w:w="-1" w:type="dxa"/>
              <w:left w:w="-1" w:type="dxa"/>
              <w:bottom w:w="-1" w:type="dxa"/>
              <w:right w:w="-1" w:type="dxa"/>
            </w:tcMar>
            <w:vAlign w:val="center"/>
          </w:tcPr>
          <w:p w14:paraId="7200CADA">
            <w:pPr>
              <w:snapToGrid w:val="0"/>
              <w:spacing w:line="240" w:lineRule="auto"/>
              <w:ind w:firstLine="0" w:firstLineChars="0"/>
              <w:jc w:val="center"/>
              <w:rPr>
                <w:sz w:val="21"/>
                <w:szCs w:val="18"/>
              </w:rPr>
            </w:pPr>
            <w:r>
              <w:rPr>
                <w:rFonts w:hint="eastAsia"/>
                <w:sz w:val="21"/>
                <w:szCs w:val="21"/>
              </w:rPr>
              <w:t>营运能力X</w:t>
            </w:r>
            <w:r>
              <w:rPr>
                <w:rFonts w:hint="eastAsia"/>
                <w:sz w:val="21"/>
                <w:szCs w:val="21"/>
                <w:vertAlign w:val="subscript"/>
              </w:rPr>
              <w:t>2</w:t>
            </w:r>
          </w:p>
        </w:tc>
        <w:tc>
          <w:tcPr>
            <w:tcW w:w="2479" w:type="dxa"/>
            <w:tcBorders>
              <w:tl2br w:val="nil"/>
              <w:tr2bl w:val="nil"/>
            </w:tcBorders>
            <w:tcMar>
              <w:top w:w="-1" w:type="dxa"/>
              <w:left w:w="-1" w:type="dxa"/>
              <w:bottom w:w="-1" w:type="dxa"/>
              <w:right w:w="-1" w:type="dxa"/>
            </w:tcMar>
            <w:vAlign w:val="center"/>
          </w:tcPr>
          <w:p w14:paraId="23730695">
            <w:pPr>
              <w:snapToGrid w:val="0"/>
              <w:spacing w:line="240" w:lineRule="auto"/>
              <w:ind w:firstLine="0" w:firstLineChars="0"/>
              <w:jc w:val="center"/>
              <w:rPr>
                <w:sz w:val="21"/>
                <w:szCs w:val="18"/>
              </w:rPr>
            </w:pPr>
            <w:r>
              <w:rPr>
                <w:rFonts w:hint="eastAsia"/>
                <w:sz w:val="21"/>
                <w:szCs w:val="21"/>
              </w:rPr>
              <w:t>应收账款周转率X</w:t>
            </w:r>
            <w:r>
              <w:rPr>
                <w:rFonts w:hint="eastAsia"/>
                <w:sz w:val="21"/>
                <w:szCs w:val="21"/>
                <w:vertAlign w:val="subscript"/>
              </w:rPr>
              <w:t>21</w:t>
            </w:r>
          </w:p>
        </w:tc>
        <w:tc>
          <w:tcPr>
            <w:tcW w:w="1942" w:type="dxa"/>
            <w:tcBorders>
              <w:tl2br w:val="nil"/>
              <w:tr2bl w:val="nil"/>
            </w:tcBorders>
            <w:tcMar>
              <w:top w:w="-1" w:type="dxa"/>
              <w:left w:w="-1" w:type="dxa"/>
              <w:bottom w:w="-1" w:type="dxa"/>
              <w:right w:w="-1" w:type="dxa"/>
            </w:tcMar>
            <w:vAlign w:val="center"/>
          </w:tcPr>
          <w:p w14:paraId="0ED03F80">
            <w:pPr>
              <w:snapToGrid w:val="0"/>
              <w:spacing w:line="240" w:lineRule="auto"/>
              <w:ind w:firstLine="0" w:firstLineChars="0"/>
              <w:jc w:val="center"/>
              <w:rPr>
                <w:sz w:val="21"/>
                <w:szCs w:val="18"/>
              </w:rPr>
            </w:pPr>
            <w:r>
              <w:rPr>
                <w:rFonts w:hint="eastAsia"/>
                <w:color w:val="0F1115"/>
                <w:sz w:val="21"/>
                <w:szCs w:val="21"/>
                <w:shd w:val="clear" w:color="auto" w:fill="FFFFFF"/>
              </w:rPr>
              <w:t>20.40%</w:t>
            </w:r>
          </w:p>
        </w:tc>
        <w:tc>
          <w:tcPr>
            <w:tcW w:w="1943" w:type="dxa"/>
            <w:vMerge w:val="restart"/>
            <w:tcBorders>
              <w:tl2br w:val="nil"/>
              <w:tr2bl w:val="nil"/>
            </w:tcBorders>
            <w:tcMar>
              <w:top w:w="-1" w:type="dxa"/>
              <w:left w:w="-1" w:type="dxa"/>
              <w:bottom w:w="-1" w:type="dxa"/>
              <w:right w:w="-1" w:type="dxa"/>
            </w:tcMar>
            <w:vAlign w:val="center"/>
          </w:tcPr>
          <w:p w14:paraId="6620BBE8">
            <w:pPr>
              <w:snapToGrid w:val="0"/>
              <w:spacing w:line="240" w:lineRule="auto"/>
              <w:ind w:firstLine="0" w:firstLineChars="0"/>
              <w:jc w:val="center"/>
              <w:rPr>
                <w:sz w:val="21"/>
                <w:szCs w:val="18"/>
              </w:rPr>
            </w:pPr>
            <w:r>
              <w:rPr>
                <w:rFonts w:hint="eastAsia"/>
                <w:color w:val="0F1115"/>
                <w:sz w:val="21"/>
                <w:szCs w:val="21"/>
                <w:shd w:val="clear" w:color="auto" w:fill="FFFFFF"/>
              </w:rPr>
              <w:t>42.13%</w:t>
            </w:r>
          </w:p>
        </w:tc>
      </w:tr>
      <w:tr w14:paraId="146DDB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continue"/>
            <w:tcBorders>
              <w:tl2br w:val="nil"/>
              <w:tr2bl w:val="nil"/>
            </w:tcBorders>
            <w:tcMar>
              <w:top w:w="-1" w:type="dxa"/>
              <w:left w:w="-1" w:type="dxa"/>
              <w:bottom w:w="-1" w:type="dxa"/>
              <w:right w:w="-1" w:type="dxa"/>
            </w:tcMar>
            <w:vAlign w:val="center"/>
          </w:tcPr>
          <w:p w14:paraId="7039BA64">
            <w:pPr>
              <w:snapToGrid w:val="0"/>
              <w:spacing w:line="240" w:lineRule="auto"/>
              <w:ind w:firstLine="0" w:firstLineChars="0"/>
              <w:jc w:val="center"/>
              <w:rPr>
                <w:sz w:val="21"/>
                <w:szCs w:val="18"/>
              </w:rPr>
            </w:pPr>
          </w:p>
        </w:tc>
        <w:tc>
          <w:tcPr>
            <w:tcW w:w="2479" w:type="dxa"/>
            <w:tcBorders>
              <w:tl2br w:val="nil"/>
              <w:tr2bl w:val="nil"/>
            </w:tcBorders>
            <w:tcMar>
              <w:top w:w="-1" w:type="dxa"/>
              <w:left w:w="-1" w:type="dxa"/>
              <w:bottom w:w="-1" w:type="dxa"/>
              <w:right w:w="-1" w:type="dxa"/>
            </w:tcMar>
            <w:vAlign w:val="center"/>
          </w:tcPr>
          <w:p w14:paraId="71B07BF2">
            <w:pPr>
              <w:snapToGrid w:val="0"/>
              <w:spacing w:line="240" w:lineRule="auto"/>
              <w:ind w:firstLine="0" w:firstLineChars="0"/>
              <w:jc w:val="center"/>
              <w:rPr>
                <w:sz w:val="21"/>
                <w:szCs w:val="18"/>
              </w:rPr>
            </w:pPr>
            <w:r>
              <w:rPr>
                <w:rFonts w:hint="eastAsia"/>
                <w:sz w:val="21"/>
                <w:szCs w:val="21"/>
              </w:rPr>
              <w:t>总资产周转率X</w:t>
            </w:r>
            <w:r>
              <w:rPr>
                <w:rFonts w:hint="eastAsia"/>
                <w:sz w:val="21"/>
                <w:szCs w:val="21"/>
                <w:vertAlign w:val="subscript"/>
              </w:rPr>
              <w:t>22</w:t>
            </w:r>
          </w:p>
        </w:tc>
        <w:tc>
          <w:tcPr>
            <w:tcW w:w="1942" w:type="dxa"/>
            <w:tcBorders>
              <w:tl2br w:val="nil"/>
              <w:tr2bl w:val="nil"/>
            </w:tcBorders>
            <w:tcMar>
              <w:top w:w="-1" w:type="dxa"/>
              <w:left w:w="-1" w:type="dxa"/>
              <w:bottom w:w="-1" w:type="dxa"/>
              <w:right w:w="-1" w:type="dxa"/>
            </w:tcMar>
            <w:vAlign w:val="center"/>
          </w:tcPr>
          <w:p w14:paraId="1A8FE93A">
            <w:pPr>
              <w:snapToGrid w:val="0"/>
              <w:spacing w:line="240" w:lineRule="auto"/>
              <w:ind w:firstLine="0" w:firstLineChars="0"/>
              <w:jc w:val="center"/>
              <w:rPr>
                <w:sz w:val="21"/>
                <w:szCs w:val="18"/>
              </w:rPr>
            </w:pPr>
            <w:r>
              <w:rPr>
                <w:rFonts w:hint="eastAsia"/>
                <w:color w:val="0F1115"/>
                <w:sz w:val="21"/>
                <w:szCs w:val="21"/>
                <w:shd w:val="clear" w:color="auto" w:fill="FFFFFF"/>
              </w:rPr>
              <w:t>21.73%</w:t>
            </w:r>
          </w:p>
        </w:tc>
        <w:tc>
          <w:tcPr>
            <w:tcW w:w="1943" w:type="dxa"/>
            <w:vMerge w:val="continue"/>
            <w:tcBorders>
              <w:tl2br w:val="nil"/>
              <w:tr2bl w:val="nil"/>
            </w:tcBorders>
            <w:tcMar>
              <w:top w:w="-1" w:type="dxa"/>
              <w:left w:w="-1" w:type="dxa"/>
              <w:bottom w:w="-1" w:type="dxa"/>
              <w:right w:w="-1" w:type="dxa"/>
            </w:tcMar>
            <w:vAlign w:val="center"/>
          </w:tcPr>
          <w:p w14:paraId="1DF328B8">
            <w:pPr>
              <w:snapToGrid w:val="0"/>
              <w:spacing w:line="240" w:lineRule="auto"/>
              <w:ind w:firstLine="0" w:firstLineChars="0"/>
              <w:jc w:val="center"/>
              <w:rPr>
                <w:sz w:val="21"/>
                <w:szCs w:val="18"/>
              </w:rPr>
            </w:pPr>
          </w:p>
        </w:tc>
      </w:tr>
      <w:tr w14:paraId="17C4F7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restart"/>
            <w:tcBorders>
              <w:tl2br w:val="nil"/>
              <w:tr2bl w:val="nil"/>
            </w:tcBorders>
            <w:tcMar>
              <w:top w:w="-1" w:type="dxa"/>
              <w:left w:w="-1" w:type="dxa"/>
              <w:bottom w:w="-1" w:type="dxa"/>
              <w:right w:w="-1" w:type="dxa"/>
            </w:tcMar>
            <w:vAlign w:val="center"/>
          </w:tcPr>
          <w:p w14:paraId="55937A50">
            <w:pPr>
              <w:snapToGrid w:val="0"/>
              <w:spacing w:line="240" w:lineRule="auto"/>
              <w:ind w:firstLine="0" w:firstLineChars="0"/>
              <w:jc w:val="center"/>
              <w:rPr>
                <w:sz w:val="21"/>
                <w:szCs w:val="18"/>
              </w:rPr>
            </w:pPr>
            <w:r>
              <w:rPr>
                <w:rFonts w:hint="eastAsia"/>
                <w:sz w:val="21"/>
                <w:szCs w:val="21"/>
              </w:rPr>
              <w:t>盈利能力X</w:t>
            </w:r>
            <w:r>
              <w:rPr>
                <w:rFonts w:hint="eastAsia"/>
                <w:sz w:val="21"/>
                <w:szCs w:val="21"/>
                <w:vertAlign w:val="subscript"/>
              </w:rPr>
              <w:t>3</w:t>
            </w:r>
          </w:p>
        </w:tc>
        <w:tc>
          <w:tcPr>
            <w:tcW w:w="2479" w:type="dxa"/>
            <w:tcBorders>
              <w:tl2br w:val="nil"/>
              <w:tr2bl w:val="nil"/>
            </w:tcBorders>
            <w:tcMar>
              <w:top w:w="-1" w:type="dxa"/>
              <w:left w:w="-1" w:type="dxa"/>
              <w:bottom w:w="-1" w:type="dxa"/>
              <w:right w:w="-1" w:type="dxa"/>
            </w:tcMar>
            <w:vAlign w:val="center"/>
          </w:tcPr>
          <w:p w14:paraId="15C81FB0">
            <w:pPr>
              <w:snapToGrid w:val="0"/>
              <w:spacing w:line="240" w:lineRule="auto"/>
              <w:ind w:firstLine="0" w:firstLineChars="0"/>
              <w:jc w:val="center"/>
              <w:rPr>
                <w:sz w:val="21"/>
                <w:szCs w:val="18"/>
              </w:rPr>
            </w:pPr>
            <w:r>
              <w:rPr>
                <w:rFonts w:hint="eastAsia" w:hAnsi="Segoe UI" w:cs="Segoe UI"/>
                <w:color w:val="0F1115"/>
                <w:sz w:val="21"/>
                <w:szCs w:val="21"/>
                <w:shd w:val="clear" w:color="auto" w:fill="FFFFFF"/>
              </w:rPr>
              <w:t>营业毛利率</w:t>
            </w:r>
            <w:r>
              <w:rPr>
                <w:rFonts w:hint="eastAsia"/>
                <w:sz w:val="21"/>
                <w:szCs w:val="21"/>
              </w:rPr>
              <w:t>X</w:t>
            </w:r>
            <w:r>
              <w:rPr>
                <w:rFonts w:hint="eastAsia"/>
                <w:sz w:val="21"/>
                <w:szCs w:val="21"/>
                <w:vertAlign w:val="subscript"/>
              </w:rPr>
              <w:t>31</w:t>
            </w:r>
          </w:p>
        </w:tc>
        <w:tc>
          <w:tcPr>
            <w:tcW w:w="1942" w:type="dxa"/>
            <w:tcBorders>
              <w:tl2br w:val="nil"/>
              <w:tr2bl w:val="nil"/>
            </w:tcBorders>
            <w:tcMar>
              <w:top w:w="-1" w:type="dxa"/>
              <w:left w:w="-1" w:type="dxa"/>
              <w:bottom w:w="-1" w:type="dxa"/>
              <w:right w:w="-1" w:type="dxa"/>
            </w:tcMar>
            <w:vAlign w:val="center"/>
          </w:tcPr>
          <w:p w14:paraId="3974677F">
            <w:pPr>
              <w:snapToGrid w:val="0"/>
              <w:spacing w:line="240" w:lineRule="auto"/>
              <w:ind w:firstLine="0" w:firstLineChars="0"/>
              <w:jc w:val="center"/>
              <w:rPr>
                <w:sz w:val="21"/>
                <w:szCs w:val="18"/>
              </w:rPr>
            </w:pPr>
            <w:r>
              <w:rPr>
                <w:rFonts w:hint="eastAsia"/>
                <w:color w:val="0F1115"/>
                <w:sz w:val="21"/>
                <w:szCs w:val="21"/>
                <w:shd w:val="clear" w:color="auto" w:fill="FFFFFF"/>
              </w:rPr>
              <w:t>6.39%</w:t>
            </w:r>
          </w:p>
        </w:tc>
        <w:tc>
          <w:tcPr>
            <w:tcW w:w="1943" w:type="dxa"/>
            <w:vMerge w:val="restart"/>
            <w:tcBorders>
              <w:tl2br w:val="nil"/>
              <w:tr2bl w:val="nil"/>
            </w:tcBorders>
            <w:tcMar>
              <w:top w:w="-1" w:type="dxa"/>
              <w:left w:w="-1" w:type="dxa"/>
              <w:bottom w:w="-1" w:type="dxa"/>
              <w:right w:w="-1" w:type="dxa"/>
            </w:tcMar>
            <w:vAlign w:val="center"/>
          </w:tcPr>
          <w:p w14:paraId="41B354B2">
            <w:pPr>
              <w:snapToGrid w:val="0"/>
              <w:spacing w:line="240" w:lineRule="auto"/>
              <w:ind w:firstLine="0" w:firstLineChars="0"/>
              <w:jc w:val="center"/>
              <w:rPr>
                <w:sz w:val="21"/>
                <w:szCs w:val="18"/>
              </w:rPr>
            </w:pPr>
            <w:r>
              <w:rPr>
                <w:rFonts w:hint="eastAsia"/>
                <w:color w:val="0F1115"/>
                <w:sz w:val="21"/>
                <w:szCs w:val="21"/>
                <w:shd w:val="clear" w:color="auto" w:fill="FFFFFF"/>
              </w:rPr>
              <w:t>14.62%</w:t>
            </w:r>
          </w:p>
        </w:tc>
      </w:tr>
      <w:tr w14:paraId="6E6266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continue"/>
            <w:tcBorders>
              <w:tl2br w:val="nil"/>
              <w:tr2bl w:val="nil"/>
            </w:tcBorders>
            <w:tcMar>
              <w:top w:w="-1" w:type="dxa"/>
              <w:left w:w="-1" w:type="dxa"/>
              <w:bottom w:w="-1" w:type="dxa"/>
              <w:right w:w="-1" w:type="dxa"/>
            </w:tcMar>
            <w:vAlign w:val="center"/>
          </w:tcPr>
          <w:p w14:paraId="7A4B29E6">
            <w:pPr>
              <w:snapToGrid w:val="0"/>
              <w:spacing w:line="240" w:lineRule="auto"/>
              <w:ind w:firstLine="0" w:firstLineChars="0"/>
              <w:jc w:val="center"/>
              <w:rPr>
                <w:sz w:val="21"/>
                <w:szCs w:val="18"/>
              </w:rPr>
            </w:pPr>
          </w:p>
        </w:tc>
        <w:tc>
          <w:tcPr>
            <w:tcW w:w="2479" w:type="dxa"/>
            <w:tcBorders>
              <w:tl2br w:val="nil"/>
              <w:tr2bl w:val="nil"/>
            </w:tcBorders>
            <w:tcMar>
              <w:top w:w="-1" w:type="dxa"/>
              <w:left w:w="-1" w:type="dxa"/>
              <w:bottom w:w="-1" w:type="dxa"/>
              <w:right w:w="-1" w:type="dxa"/>
            </w:tcMar>
            <w:vAlign w:val="center"/>
          </w:tcPr>
          <w:p w14:paraId="3093515F">
            <w:pPr>
              <w:snapToGrid w:val="0"/>
              <w:spacing w:line="240" w:lineRule="auto"/>
              <w:ind w:firstLine="0" w:firstLineChars="0"/>
              <w:jc w:val="center"/>
              <w:rPr>
                <w:sz w:val="21"/>
                <w:szCs w:val="18"/>
              </w:rPr>
            </w:pPr>
            <w:r>
              <w:rPr>
                <w:rFonts w:hint="eastAsia"/>
                <w:sz w:val="21"/>
                <w:szCs w:val="21"/>
              </w:rPr>
              <w:t>净资产收益率X</w:t>
            </w:r>
            <w:r>
              <w:rPr>
                <w:rFonts w:hint="eastAsia"/>
                <w:sz w:val="21"/>
                <w:szCs w:val="21"/>
                <w:vertAlign w:val="subscript"/>
              </w:rPr>
              <w:t>32</w:t>
            </w:r>
          </w:p>
        </w:tc>
        <w:tc>
          <w:tcPr>
            <w:tcW w:w="1942" w:type="dxa"/>
            <w:tcBorders>
              <w:tl2br w:val="nil"/>
              <w:tr2bl w:val="nil"/>
            </w:tcBorders>
            <w:tcMar>
              <w:top w:w="-1" w:type="dxa"/>
              <w:left w:w="-1" w:type="dxa"/>
              <w:bottom w:w="-1" w:type="dxa"/>
              <w:right w:w="-1" w:type="dxa"/>
            </w:tcMar>
            <w:vAlign w:val="center"/>
          </w:tcPr>
          <w:p w14:paraId="1EA563E2">
            <w:pPr>
              <w:snapToGrid w:val="0"/>
              <w:spacing w:line="240" w:lineRule="auto"/>
              <w:ind w:firstLine="0" w:firstLineChars="0"/>
              <w:jc w:val="center"/>
              <w:rPr>
                <w:sz w:val="21"/>
                <w:szCs w:val="18"/>
              </w:rPr>
            </w:pPr>
            <w:r>
              <w:rPr>
                <w:rFonts w:hint="eastAsia"/>
                <w:color w:val="0F1115"/>
                <w:sz w:val="21"/>
                <w:szCs w:val="21"/>
                <w:shd w:val="clear" w:color="auto" w:fill="FFFFFF"/>
              </w:rPr>
              <w:t>8.23%</w:t>
            </w:r>
          </w:p>
        </w:tc>
        <w:tc>
          <w:tcPr>
            <w:tcW w:w="1943" w:type="dxa"/>
            <w:vMerge w:val="continue"/>
            <w:tcBorders>
              <w:tl2br w:val="nil"/>
              <w:tr2bl w:val="nil"/>
            </w:tcBorders>
            <w:tcMar>
              <w:top w:w="-1" w:type="dxa"/>
              <w:left w:w="-1" w:type="dxa"/>
              <w:bottom w:w="-1" w:type="dxa"/>
              <w:right w:w="-1" w:type="dxa"/>
            </w:tcMar>
            <w:vAlign w:val="center"/>
          </w:tcPr>
          <w:p w14:paraId="49F59BAF">
            <w:pPr>
              <w:snapToGrid w:val="0"/>
              <w:spacing w:line="240" w:lineRule="auto"/>
              <w:ind w:firstLine="0" w:firstLineChars="0"/>
              <w:jc w:val="center"/>
              <w:rPr>
                <w:sz w:val="21"/>
                <w:szCs w:val="18"/>
              </w:rPr>
            </w:pPr>
          </w:p>
        </w:tc>
      </w:tr>
      <w:tr w14:paraId="625506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restart"/>
            <w:tcBorders>
              <w:tl2br w:val="nil"/>
              <w:tr2bl w:val="nil"/>
            </w:tcBorders>
            <w:tcMar>
              <w:top w:w="-1" w:type="dxa"/>
              <w:left w:w="-1" w:type="dxa"/>
              <w:bottom w:w="-1" w:type="dxa"/>
              <w:right w:w="-1" w:type="dxa"/>
            </w:tcMar>
            <w:vAlign w:val="center"/>
          </w:tcPr>
          <w:p w14:paraId="50018732">
            <w:pPr>
              <w:snapToGrid w:val="0"/>
              <w:spacing w:line="240" w:lineRule="auto"/>
              <w:ind w:firstLine="0" w:firstLineChars="0"/>
              <w:jc w:val="center"/>
              <w:rPr>
                <w:sz w:val="21"/>
                <w:szCs w:val="18"/>
              </w:rPr>
            </w:pPr>
            <w:r>
              <w:rPr>
                <w:rFonts w:hint="eastAsia"/>
                <w:sz w:val="21"/>
                <w:szCs w:val="21"/>
              </w:rPr>
              <w:t>发展能力X</w:t>
            </w:r>
            <w:r>
              <w:rPr>
                <w:rFonts w:hint="eastAsia"/>
                <w:sz w:val="21"/>
                <w:szCs w:val="21"/>
                <w:vertAlign w:val="subscript"/>
              </w:rPr>
              <w:t>4</w:t>
            </w:r>
          </w:p>
        </w:tc>
        <w:tc>
          <w:tcPr>
            <w:tcW w:w="2479" w:type="dxa"/>
            <w:tcBorders>
              <w:tl2br w:val="nil"/>
              <w:tr2bl w:val="nil"/>
            </w:tcBorders>
            <w:tcMar>
              <w:top w:w="-1" w:type="dxa"/>
              <w:left w:w="-1" w:type="dxa"/>
              <w:bottom w:w="-1" w:type="dxa"/>
              <w:right w:w="-1" w:type="dxa"/>
            </w:tcMar>
            <w:vAlign w:val="center"/>
          </w:tcPr>
          <w:p w14:paraId="65AC6A32">
            <w:pPr>
              <w:snapToGrid w:val="0"/>
              <w:spacing w:line="240" w:lineRule="auto"/>
              <w:ind w:firstLine="0" w:firstLineChars="0"/>
              <w:jc w:val="center"/>
              <w:rPr>
                <w:sz w:val="21"/>
                <w:szCs w:val="18"/>
              </w:rPr>
            </w:pPr>
            <w:r>
              <w:rPr>
                <w:rFonts w:hint="eastAsia"/>
                <w:sz w:val="21"/>
                <w:szCs w:val="21"/>
              </w:rPr>
              <w:t>所有者权益增长率X</w:t>
            </w:r>
            <w:r>
              <w:rPr>
                <w:rFonts w:hint="eastAsia"/>
                <w:sz w:val="21"/>
                <w:szCs w:val="21"/>
                <w:vertAlign w:val="subscript"/>
              </w:rPr>
              <w:t>41</w:t>
            </w:r>
          </w:p>
        </w:tc>
        <w:tc>
          <w:tcPr>
            <w:tcW w:w="1942" w:type="dxa"/>
            <w:tcBorders>
              <w:tl2br w:val="nil"/>
              <w:tr2bl w:val="nil"/>
            </w:tcBorders>
            <w:tcMar>
              <w:top w:w="-1" w:type="dxa"/>
              <w:left w:w="-1" w:type="dxa"/>
              <w:bottom w:w="-1" w:type="dxa"/>
              <w:right w:w="-1" w:type="dxa"/>
            </w:tcMar>
            <w:vAlign w:val="center"/>
          </w:tcPr>
          <w:p w14:paraId="2272E29F">
            <w:pPr>
              <w:snapToGrid w:val="0"/>
              <w:spacing w:line="240" w:lineRule="auto"/>
              <w:ind w:firstLine="0" w:firstLineChars="0"/>
              <w:jc w:val="center"/>
              <w:rPr>
                <w:sz w:val="21"/>
                <w:szCs w:val="18"/>
              </w:rPr>
            </w:pPr>
            <w:r>
              <w:rPr>
                <w:rFonts w:hint="eastAsia"/>
                <w:color w:val="0F1115"/>
                <w:sz w:val="21"/>
                <w:szCs w:val="21"/>
                <w:shd w:val="clear" w:color="auto" w:fill="FFFFFF"/>
              </w:rPr>
              <w:t>13.10%</w:t>
            </w:r>
          </w:p>
        </w:tc>
        <w:tc>
          <w:tcPr>
            <w:tcW w:w="1943" w:type="dxa"/>
            <w:vMerge w:val="restart"/>
            <w:tcBorders>
              <w:tl2br w:val="nil"/>
              <w:tr2bl w:val="nil"/>
            </w:tcBorders>
            <w:tcMar>
              <w:top w:w="-1" w:type="dxa"/>
              <w:left w:w="-1" w:type="dxa"/>
              <w:bottom w:w="-1" w:type="dxa"/>
              <w:right w:w="-1" w:type="dxa"/>
            </w:tcMar>
            <w:vAlign w:val="center"/>
          </w:tcPr>
          <w:p w14:paraId="2C6CBB2A">
            <w:pPr>
              <w:snapToGrid w:val="0"/>
              <w:spacing w:line="240" w:lineRule="auto"/>
              <w:ind w:firstLine="0" w:firstLineChars="0"/>
              <w:jc w:val="center"/>
              <w:rPr>
                <w:sz w:val="21"/>
                <w:szCs w:val="18"/>
              </w:rPr>
            </w:pPr>
            <w:r>
              <w:rPr>
                <w:rFonts w:hint="eastAsia"/>
                <w:color w:val="0F1115"/>
                <w:sz w:val="21"/>
                <w:szCs w:val="21"/>
                <w:shd w:val="clear" w:color="auto" w:fill="FFFFFF"/>
              </w:rPr>
              <w:t>27.51%</w:t>
            </w:r>
          </w:p>
        </w:tc>
      </w:tr>
      <w:tr w14:paraId="5CB9E0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vMerge w:val="continue"/>
            <w:tcBorders>
              <w:tl2br w:val="nil"/>
              <w:tr2bl w:val="nil"/>
            </w:tcBorders>
            <w:tcMar>
              <w:top w:w="-1" w:type="dxa"/>
              <w:left w:w="-1" w:type="dxa"/>
              <w:bottom w:w="-1" w:type="dxa"/>
              <w:right w:w="-1" w:type="dxa"/>
            </w:tcMar>
            <w:vAlign w:val="center"/>
          </w:tcPr>
          <w:p w14:paraId="72D74CEF">
            <w:pPr>
              <w:snapToGrid w:val="0"/>
              <w:spacing w:line="240" w:lineRule="auto"/>
              <w:ind w:firstLine="0" w:firstLineChars="0"/>
              <w:jc w:val="center"/>
              <w:rPr>
                <w:sz w:val="21"/>
                <w:szCs w:val="18"/>
              </w:rPr>
            </w:pPr>
          </w:p>
        </w:tc>
        <w:tc>
          <w:tcPr>
            <w:tcW w:w="2479" w:type="dxa"/>
            <w:tcBorders>
              <w:tl2br w:val="nil"/>
              <w:tr2bl w:val="nil"/>
            </w:tcBorders>
            <w:tcMar>
              <w:top w:w="-1" w:type="dxa"/>
              <w:left w:w="-1" w:type="dxa"/>
              <w:bottom w:w="-1" w:type="dxa"/>
              <w:right w:w="-1" w:type="dxa"/>
            </w:tcMar>
            <w:vAlign w:val="center"/>
          </w:tcPr>
          <w:p w14:paraId="48AF6FF3">
            <w:pPr>
              <w:snapToGrid w:val="0"/>
              <w:spacing w:line="240" w:lineRule="auto"/>
              <w:ind w:firstLine="0" w:firstLineChars="0"/>
              <w:jc w:val="center"/>
              <w:rPr>
                <w:sz w:val="21"/>
                <w:szCs w:val="18"/>
              </w:rPr>
            </w:pPr>
            <w:r>
              <w:rPr>
                <w:rFonts w:hint="eastAsia"/>
                <w:sz w:val="21"/>
                <w:szCs w:val="21"/>
              </w:rPr>
              <w:t>营业收入增长率X</w:t>
            </w:r>
            <w:r>
              <w:rPr>
                <w:rFonts w:hint="eastAsia"/>
                <w:sz w:val="21"/>
                <w:szCs w:val="21"/>
                <w:vertAlign w:val="subscript"/>
              </w:rPr>
              <w:t>42</w:t>
            </w:r>
          </w:p>
        </w:tc>
        <w:tc>
          <w:tcPr>
            <w:tcW w:w="1942" w:type="dxa"/>
            <w:tcBorders>
              <w:tl2br w:val="nil"/>
              <w:tr2bl w:val="nil"/>
            </w:tcBorders>
            <w:tcMar>
              <w:top w:w="-1" w:type="dxa"/>
              <w:left w:w="-1" w:type="dxa"/>
              <w:bottom w:w="-1" w:type="dxa"/>
              <w:right w:w="-1" w:type="dxa"/>
            </w:tcMar>
            <w:vAlign w:val="center"/>
          </w:tcPr>
          <w:p w14:paraId="0D669253">
            <w:pPr>
              <w:snapToGrid w:val="0"/>
              <w:spacing w:line="240" w:lineRule="auto"/>
              <w:ind w:firstLine="0" w:firstLineChars="0"/>
              <w:jc w:val="center"/>
              <w:rPr>
                <w:sz w:val="21"/>
                <w:szCs w:val="18"/>
              </w:rPr>
            </w:pPr>
            <w:r>
              <w:rPr>
                <w:rFonts w:hint="eastAsia"/>
                <w:color w:val="0F1115"/>
                <w:sz w:val="21"/>
                <w:szCs w:val="21"/>
                <w:shd w:val="clear" w:color="auto" w:fill="FFFFFF"/>
              </w:rPr>
              <w:t>14.41%</w:t>
            </w:r>
          </w:p>
        </w:tc>
        <w:tc>
          <w:tcPr>
            <w:tcW w:w="1943" w:type="dxa"/>
            <w:vMerge w:val="continue"/>
            <w:tcBorders>
              <w:tl2br w:val="nil"/>
              <w:tr2bl w:val="nil"/>
            </w:tcBorders>
            <w:tcMar>
              <w:top w:w="-1" w:type="dxa"/>
              <w:left w:w="-1" w:type="dxa"/>
              <w:bottom w:w="-1" w:type="dxa"/>
              <w:right w:w="-1" w:type="dxa"/>
            </w:tcMar>
            <w:vAlign w:val="center"/>
          </w:tcPr>
          <w:p w14:paraId="330833D9">
            <w:pPr>
              <w:snapToGrid w:val="0"/>
              <w:spacing w:line="240" w:lineRule="auto"/>
              <w:ind w:firstLine="0" w:firstLineChars="0"/>
              <w:jc w:val="center"/>
              <w:rPr>
                <w:sz w:val="21"/>
                <w:szCs w:val="18"/>
              </w:rPr>
            </w:pPr>
          </w:p>
        </w:tc>
      </w:tr>
    </w:tbl>
    <w:p w14:paraId="61E39235">
      <w:pPr>
        <w:ind w:firstLine="0" w:firstLineChars="0"/>
        <w:rPr>
          <w:sz w:val="21"/>
          <w:szCs w:val="18"/>
        </w:rPr>
      </w:pPr>
      <w:r>
        <w:rPr>
          <w:rFonts w:hint="eastAsia"/>
          <w:sz w:val="21"/>
          <w:szCs w:val="18"/>
        </w:rPr>
        <w:t>数据来源：SPSSAU熵值法处理结果。</w:t>
      </w:r>
    </w:p>
    <w:p w14:paraId="726CE892">
      <w:pPr>
        <w:pStyle w:val="4"/>
        <w:spacing w:before="156" w:after="156"/>
      </w:pPr>
      <w:bookmarkStart w:id="239" w:name="_Toc3954"/>
      <w:r>
        <w:t>3.2.3  财务绩效评价结果分析</w:t>
      </w:r>
      <w:bookmarkEnd w:id="239"/>
    </w:p>
    <w:p w14:paraId="572329C4">
      <w:pPr>
        <w:ind w:firstLine="480"/>
        <w:rPr>
          <w:rFonts w:ascii="Segoe UI" w:hAnsi="Segoe UI" w:cs="Segoe UI"/>
          <w:color w:val="0F1115"/>
          <w:shd w:val="clear" w:color="auto" w:fill="FFFFFF"/>
        </w:rPr>
      </w:pPr>
      <w:r>
        <w:rPr>
          <w:rFonts w:ascii="Segoe UI" w:hAnsi="Segoe UI" w:cs="Segoe UI"/>
          <w:color w:val="0F1115"/>
          <w:shd w:val="clear" w:color="auto" w:fill="FFFFFF"/>
        </w:rPr>
        <w:t>根据熵值法的研究结果，本文首先对川能动力历年的综合评价结果进行解释，然后从偿债能力、营运能力、盈利能力、成长能力四个方面对它们进行详细的分析。</w:t>
      </w:r>
    </w:p>
    <w:p w14:paraId="7B062070">
      <w:pPr>
        <w:pStyle w:val="32"/>
        <w:ind w:left="1200" w:hanging="720" w:firstLineChars="0"/>
        <w:rPr>
          <w:rFonts w:ascii="Segoe UI" w:hAnsi="Segoe UI" w:cs="Segoe UI"/>
          <w:color w:val="0F1115"/>
          <w:shd w:val="clear" w:color="auto" w:fill="FFFFFF"/>
        </w:rPr>
      </w:pPr>
      <w:r>
        <w:rPr>
          <w:rFonts w:hint="eastAsia" w:ascii="Segoe UI" w:hAnsi="Segoe UI" w:cs="Segoe UI"/>
          <w:color w:val="0F1115"/>
          <w:shd w:val="clear" w:color="auto" w:fill="FFFFFF"/>
        </w:rPr>
        <w:t>（</w:t>
      </w:r>
      <w:r>
        <w:rPr>
          <w:color w:val="0F1115"/>
          <w:shd w:val="clear" w:color="auto" w:fill="FFFFFF"/>
        </w:rPr>
        <w:t>1</w:t>
      </w:r>
      <w:r>
        <w:rPr>
          <w:rFonts w:hint="eastAsia" w:ascii="Segoe UI" w:hAnsi="Segoe UI" w:cs="Segoe UI"/>
          <w:color w:val="0F1115"/>
          <w:shd w:val="clear" w:color="auto" w:fill="FFFFFF"/>
        </w:rPr>
        <w:t>）综合评价结果分析</w:t>
      </w:r>
    </w:p>
    <w:p w14:paraId="35175988">
      <w:pPr>
        <w:pStyle w:val="32"/>
        <w:keepNext/>
        <w:ind w:firstLine="0" w:firstLineChars="0"/>
        <w:rPr>
          <w:rFonts w:ascii="Segoe UI" w:hAnsi="Segoe UI" w:cs="Segoe UI"/>
          <w:color w:val="0F1115"/>
          <w:shd w:val="clear" w:color="auto" w:fill="FFFFFF"/>
        </w:rPr>
      </w:pPr>
      <w:r>
        <w:rPr>
          <w:rFonts w:hint="eastAsia" w:ascii="Segoe UI" w:hAnsi="Segoe UI" w:cs="Segoe UI"/>
          <w:color w:val="0F1115"/>
          <w:shd w:val="clear" w:color="auto" w:fill="FFFFFF"/>
        </w:rPr>
        <w:drawing>
          <wp:inline distT="0" distB="0" distL="114300" distR="114300">
            <wp:extent cx="5259070" cy="1925955"/>
            <wp:effectExtent l="0" t="0" r="17780" b="17145"/>
            <wp:docPr id="2" name="图表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BD27F29">
      <w:pPr>
        <w:ind w:firstLine="0" w:firstLineChars="0"/>
        <w:rPr>
          <w:rFonts w:ascii="Segoe UI" w:hAnsi="Segoe UI" w:cs="Segoe UI"/>
          <w:color w:val="0F1115"/>
          <w:sz w:val="21"/>
          <w:szCs w:val="21"/>
          <w:shd w:val="clear" w:color="auto" w:fill="FFFFFF"/>
        </w:rPr>
      </w:pPr>
      <w:r>
        <w:rPr>
          <w:rFonts w:hint="eastAsia"/>
          <w:sz w:val="21"/>
          <w:szCs w:val="21"/>
        </w:rPr>
        <w:t>数据来源：二级指标数据汇总整理。</w:t>
      </w:r>
    </w:p>
    <w:p w14:paraId="3565300C">
      <w:pPr>
        <w:pStyle w:val="6"/>
        <w:keepNext/>
        <w:spacing w:before="156" w:after="156"/>
        <w:ind w:firstLine="0" w:firstLineChars="0"/>
        <w:rPr>
          <w:rFonts w:ascii="Segoe UI" w:hAnsi="Segoe UI" w:cs="Segoe UI"/>
          <w:color w:val="0F1115"/>
          <w:shd w:val="clear" w:color="auto" w:fill="FFFFFF"/>
        </w:rPr>
      </w:pPr>
      <w:bookmarkStart w:id="240" w:name="_Ref15800"/>
      <w:r>
        <w:t>图3.</w:t>
      </w:r>
      <w:r>
        <w:fldChar w:fldCharType="begin"/>
      </w:r>
      <w:r>
        <w:instrText xml:space="preserve"> SEQ 图3. \* ARABIC </w:instrText>
      </w:r>
      <w:r>
        <w:fldChar w:fldCharType="separate"/>
      </w:r>
      <w:r>
        <w:t>10</w:t>
      </w:r>
      <w:r>
        <w:fldChar w:fldCharType="end"/>
      </w:r>
      <w:bookmarkEnd w:id="240"/>
      <w:r>
        <w:rPr>
          <w:rFonts w:hint="eastAsia"/>
        </w:rPr>
        <w:t xml:space="preserve">  川能动力2017-2025年综合得分</w:t>
      </w:r>
    </w:p>
    <w:p w14:paraId="05F10245">
      <w:pPr>
        <w:pStyle w:val="32"/>
        <w:ind w:firstLine="480"/>
      </w:pPr>
      <w:bookmarkStart w:id="241" w:name="OLE_LINK42"/>
      <w:bookmarkEnd w:id="241"/>
      <w:bookmarkStart w:id="242" w:name="OLE_LINK85"/>
      <w:bookmarkEnd w:id="242"/>
      <w:bookmarkStart w:id="243" w:name="OLE_LINK2"/>
      <w:bookmarkEnd w:id="243"/>
      <w:bookmarkStart w:id="244" w:name="OLE_LINK217"/>
      <w:bookmarkStart w:id="245" w:name="OLE_LINK11"/>
      <w:r>
        <w:rPr>
          <w:rFonts w:hint="eastAsia"/>
        </w:rPr>
        <w:t>从</w:t>
      </w:r>
      <w:r>
        <w:rPr>
          <w:rFonts w:hint="eastAsia"/>
        </w:rPr>
        <w:fldChar w:fldCharType="begin"/>
      </w:r>
      <w:r>
        <w:rPr>
          <w:rFonts w:hint="eastAsia"/>
        </w:rPr>
        <w:instrText xml:space="preserve"> REF _Ref15920 \h </w:instrText>
      </w:r>
      <w:r>
        <w:rPr>
          <w:rFonts w:hint="eastAsia"/>
        </w:rPr>
        <w:fldChar w:fldCharType="separate"/>
      </w:r>
      <w:r>
        <w:t>表3.2</w:t>
      </w:r>
      <w:r>
        <w:rPr>
          <w:rFonts w:hint="eastAsia"/>
        </w:rPr>
        <w:fldChar w:fldCharType="end"/>
      </w:r>
      <w:r>
        <w:rPr>
          <w:rFonts w:hint="eastAsia"/>
          <w:color w:val="0F1115"/>
          <w:shd w:val="clear" w:color="auto" w:fill="FFFFFF"/>
        </w:rPr>
        <w:t>可知，</w:t>
      </w:r>
      <w:r>
        <w:rPr>
          <w:rFonts w:hint="eastAsia" w:ascii="Segoe UI" w:hAnsi="Segoe UI" w:cs="Segoe UI"/>
          <w:color w:val="0F1115"/>
          <w:shd w:val="clear" w:color="auto" w:fill="FFFFFF"/>
        </w:rPr>
        <w:t>川</w:t>
      </w:r>
      <w:bookmarkEnd w:id="244"/>
      <w:r>
        <w:rPr>
          <w:rFonts w:hint="eastAsia" w:ascii="Segoe UI" w:hAnsi="Segoe UI" w:cs="Segoe UI"/>
          <w:color w:val="0F1115"/>
          <w:shd w:val="clear" w:color="auto" w:fill="FFFFFF"/>
        </w:rPr>
        <w:t>能动力</w:t>
      </w:r>
      <w:r>
        <w:rPr>
          <w:rFonts w:hint="eastAsia"/>
          <w:color w:val="0F1115"/>
          <w:shd w:val="clear" w:color="auto" w:fill="FFFFFF"/>
        </w:rPr>
        <w:t>2017-2025</w:t>
      </w:r>
      <w:r>
        <w:rPr>
          <w:rFonts w:hint="eastAsia" w:ascii="Segoe UI" w:hAnsi="Segoe UI" w:cs="Segoe UI"/>
          <w:color w:val="0F1115"/>
          <w:shd w:val="clear" w:color="auto" w:fill="FFFFFF"/>
        </w:rPr>
        <w:t>年的综合得分呈现先降后升再降的趋势。由</w:t>
      </w:r>
      <w:r>
        <w:rPr>
          <w:rFonts w:hint="eastAsia" w:ascii="Segoe UI" w:hAnsi="Segoe UI" w:cs="Segoe UI"/>
          <w:color w:val="0F1115"/>
          <w:shd w:val="clear" w:color="auto" w:fill="FFFFFF"/>
        </w:rPr>
        <w:fldChar w:fldCharType="begin"/>
      </w:r>
      <w:r>
        <w:rPr>
          <w:rFonts w:hint="eastAsia" w:ascii="Segoe UI" w:hAnsi="Segoe UI" w:cs="Segoe UI"/>
          <w:color w:val="0F1115"/>
          <w:shd w:val="clear" w:color="auto" w:fill="FFFFFF"/>
        </w:rPr>
        <w:instrText xml:space="preserve"> REF _Ref15800 \h </w:instrText>
      </w:r>
      <w:r>
        <w:rPr>
          <w:rFonts w:hint="eastAsia" w:ascii="Segoe UI" w:hAnsi="Segoe UI" w:cs="Segoe UI"/>
          <w:color w:val="0F1115"/>
          <w:shd w:val="clear" w:color="auto" w:fill="FFFFFF"/>
        </w:rPr>
        <w:fldChar w:fldCharType="separate"/>
      </w:r>
      <w:r>
        <w:t>图3.10</w:t>
      </w:r>
      <w:r>
        <w:rPr>
          <w:rFonts w:hint="eastAsia" w:ascii="Segoe UI" w:hAnsi="Segoe UI" w:cs="Segoe UI"/>
          <w:color w:val="0F1115"/>
          <w:shd w:val="clear" w:color="auto" w:fill="FFFFFF"/>
        </w:rPr>
        <w:fldChar w:fldCharType="end"/>
      </w:r>
      <w:r>
        <w:rPr>
          <w:rFonts w:hint="eastAsia" w:ascii="Segoe UI" w:hAnsi="Segoe UI" w:cs="Segoe UI"/>
          <w:color w:val="0F1115"/>
          <w:shd w:val="clear" w:color="auto" w:fill="FFFFFF"/>
        </w:rPr>
        <w:t>可知，</w:t>
      </w:r>
      <w:r>
        <w:rPr>
          <w:rFonts w:ascii="Segoe UI" w:hAnsi="Segoe UI" w:cs="Segoe UI"/>
          <w:color w:val="0F1115"/>
          <w:shd w:val="clear" w:color="auto" w:fill="FFFFFF"/>
        </w:rPr>
        <w:t>营运能力</w:t>
      </w:r>
      <w:r>
        <w:rPr>
          <w:rFonts w:hint="eastAsia" w:ascii="Segoe UI" w:hAnsi="Segoe UI" w:cs="Segoe UI"/>
          <w:color w:val="0F1115"/>
          <w:shd w:val="clear" w:color="auto" w:fill="FFFFFF"/>
        </w:rPr>
        <w:t>所占</w:t>
      </w:r>
      <w:r>
        <w:rPr>
          <w:rFonts w:ascii="Segoe UI" w:hAnsi="Segoe UI" w:cs="Segoe UI"/>
          <w:color w:val="0F1115"/>
          <w:shd w:val="clear" w:color="auto" w:fill="FFFFFF"/>
        </w:rPr>
        <w:t>权重最高</w:t>
      </w:r>
      <w:r>
        <w:rPr>
          <w:rFonts w:hint="eastAsia" w:ascii="Segoe UI" w:hAnsi="Segoe UI" w:cs="Segoe UI"/>
          <w:color w:val="0F1115"/>
          <w:shd w:val="clear" w:color="auto" w:fill="FFFFFF"/>
        </w:rPr>
        <w:t>，为</w:t>
      </w:r>
      <w:r>
        <w:rPr>
          <w:color w:val="0F1115"/>
          <w:shd w:val="clear" w:color="auto" w:fill="FFFFFF"/>
        </w:rPr>
        <w:t>42.13%</w:t>
      </w:r>
      <w:r>
        <w:rPr>
          <w:rFonts w:hint="eastAsia" w:ascii="Segoe UI" w:hAnsi="Segoe UI" w:cs="Segoe UI"/>
          <w:color w:val="0F1115"/>
          <w:shd w:val="clear" w:color="auto" w:fill="FFFFFF"/>
        </w:rPr>
        <w:t>。</w:t>
      </w:r>
      <w:r>
        <w:rPr>
          <w:color w:val="0F1115"/>
          <w:shd w:val="clear" w:color="auto" w:fill="FFFFFF"/>
        </w:rPr>
        <w:t>2</w:t>
      </w:r>
      <w:bookmarkStart w:id="246" w:name="OLE_LINK218"/>
      <w:r>
        <w:rPr>
          <w:color w:val="0F1115"/>
          <w:shd w:val="clear" w:color="auto" w:fill="FFFFFF"/>
        </w:rPr>
        <w:t>01</w:t>
      </w:r>
      <w:r>
        <w:rPr>
          <w:rFonts w:hint="eastAsia"/>
          <w:color w:val="0F1115"/>
          <w:shd w:val="clear" w:color="auto" w:fill="FFFFFF"/>
        </w:rPr>
        <w:t>7</w:t>
      </w:r>
      <w:r>
        <w:rPr>
          <w:color w:val="0F1115"/>
          <w:shd w:val="clear" w:color="auto" w:fill="FFFFFF"/>
        </w:rPr>
        <w:t>-2020</w:t>
      </w:r>
      <w:r>
        <w:rPr>
          <w:rFonts w:ascii="Segoe UI" w:hAnsi="Segoe UI" w:cs="Segoe UI"/>
          <w:color w:val="0F1115"/>
          <w:shd w:val="clear" w:color="auto" w:fill="FFFFFF"/>
        </w:rPr>
        <w:t>年得分</w:t>
      </w:r>
      <w:r>
        <w:rPr>
          <w:rFonts w:hint="eastAsia" w:ascii="Segoe UI" w:hAnsi="Segoe UI" w:cs="Segoe UI"/>
          <w:color w:val="0F1115"/>
          <w:shd w:val="clear" w:color="auto" w:fill="FFFFFF"/>
        </w:rPr>
        <w:t>持续下降，是由于</w:t>
      </w:r>
      <w:r>
        <w:rPr>
          <w:rFonts w:ascii="Segoe UI" w:hAnsi="Segoe UI" w:cs="Segoe UI"/>
          <w:color w:val="0F1115"/>
          <w:shd w:val="clear" w:color="auto" w:fill="FFFFFF"/>
        </w:rPr>
        <w:t>这一时期总资产周转率从</w:t>
      </w:r>
      <w:r>
        <w:rPr>
          <w:color w:val="0F1115"/>
          <w:shd w:val="clear" w:color="auto" w:fill="FFFFFF"/>
        </w:rPr>
        <w:t>0.61</w:t>
      </w:r>
      <w:r>
        <w:rPr>
          <w:rFonts w:ascii="Segoe UI" w:hAnsi="Segoe UI" w:cs="Segoe UI"/>
          <w:color w:val="0F1115"/>
          <w:shd w:val="clear" w:color="auto" w:fill="FFFFFF"/>
        </w:rPr>
        <w:t>次降至</w:t>
      </w:r>
      <w:r>
        <w:rPr>
          <w:color w:val="0F1115"/>
          <w:shd w:val="clear" w:color="auto" w:fill="FFFFFF"/>
        </w:rPr>
        <w:t>0.24</w:t>
      </w:r>
      <w:r>
        <w:rPr>
          <w:rFonts w:ascii="Segoe UI" w:hAnsi="Segoe UI" w:cs="Segoe UI"/>
          <w:color w:val="0F1115"/>
          <w:shd w:val="clear" w:color="auto" w:fill="FFFFFF"/>
        </w:rPr>
        <w:t>次，应</w:t>
      </w:r>
      <w:bookmarkStart w:id="247" w:name="OLE_LINK258"/>
      <w:r>
        <w:rPr>
          <w:rFonts w:ascii="Segoe UI" w:hAnsi="Segoe UI" w:cs="Segoe UI"/>
          <w:color w:val="0F1115"/>
          <w:shd w:val="clear" w:color="auto" w:fill="FFFFFF"/>
        </w:rPr>
        <w:t>收账款周转率</w:t>
      </w:r>
      <w:bookmarkEnd w:id="246"/>
      <w:r>
        <w:rPr>
          <w:rFonts w:ascii="Segoe UI" w:hAnsi="Segoe UI" w:cs="Segoe UI"/>
          <w:color w:val="0F1115"/>
          <w:shd w:val="clear" w:color="auto" w:fill="FFFFFF"/>
        </w:rPr>
        <w:t>从</w:t>
      </w:r>
      <w:r>
        <w:rPr>
          <w:color w:val="0F1115"/>
          <w:shd w:val="clear" w:color="auto" w:fill="FFFFFF"/>
        </w:rPr>
        <w:t>3.49</w:t>
      </w:r>
      <w:r>
        <w:rPr>
          <w:rFonts w:ascii="Segoe UI" w:hAnsi="Segoe UI" w:cs="Segoe UI"/>
          <w:color w:val="0F1115"/>
          <w:shd w:val="clear" w:color="auto" w:fill="FFFFFF"/>
        </w:rPr>
        <w:t>次降至</w:t>
      </w:r>
      <w:r>
        <w:rPr>
          <w:color w:val="0F1115"/>
          <w:shd w:val="clear" w:color="auto" w:fill="FFFFFF"/>
        </w:rPr>
        <w:t>1.66</w:t>
      </w:r>
      <w:r>
        <w:rPr>
          <w:rFonts w:ascii="Segoe UI" w:hAnsi="Segoe UI" w:cs="Segoe UI"/>
          <w:color w:val="0F1115"/>
          <w:shd w:val="clear" w:color="auto" w:fill="FFFFFF"/>
        </w:rPr>
        <w:t>次，两项高权重指标</w:t>
      </w:r>
      <w:r>
        <w:rPr>
          <w:rFonts w:hint="eastAsia" w:ascii="Segoe UI" w:hAnsi="Segoe UI" w:cs="Segoe UI"/>
          <w:color w:val="0F1115"/>
          <w:shd w:val="clear" w:color="auto" w:fill="FFFFFF"/>
        </w:rPr>
        <w:t>下降</w:t>
      </w:r>
      <w:r>
        <w:rPr>
          <w:rFonts w:ascii="Segoe UI" w:hAnsi="Segoe UI" w:cs="Segoe UI"/>
          <w:color w:val="0F1115"/>
          <w:shd w:val="clear" w:color="auto" w:fill="FFFFFF"/>
        </w:rPr>
        <w:t>，</w:t>
      </w:r>
      <w:r>
        <w:rPr>
          <w:rFonts w:hint="eastAsia" w:ascii="Segoe UI" w:hAnsi="Segoe UI" w:cs="Segoe UI"/>
          <w:color w:val="0F1115"/>
          <w:shd w:val="clear" w:color="auto" w:fill="FFFFFF"/>
        </w:rPr>
        <w:t>从而降低</w:t>
      </w:r>
      <w:r>
        <w:rPr>
          <w:rFonts w:ascii="Segoe UI" w:hAnsi="Segoe UI" w:cs="Segoe UI"/>
          <w:color w:val="0F1115"/>
          <w:shd w:val="clear" w:color="auto" w:fill="FFFFFF"/>
        </w:rPr>
        <w:t>了综合得分。</w:t>
      </w:r>
      <w:r>
        <w:rPr>
          <w:color w:val="0F1115"/>
          <w:shd w:val="clear" w:color="auto" w:fill="FFFFFF"/>
        </w:rPr>
        <w:t>2021</w:t>
      </w:r>
      <w:r>
        <w:rPr>
          <w:rFonts w:ascii="Segoe UI" w:hAnsi="Segoe UI" w:cs="Segoe UI"/>
          <w:color w:val="0F1115"/>
          <w:shd w:val="clear" w:color="auto" w:fill="FFFFFF"/>
        </w:rPr>
        <w:t>年得分升至</w:t>
      </w:r>
      <w:r>
        <w:rPr>
          <w:rFonts w:hint="eastAsia"/>
          <w:color w:val="0F1115"/>
          <w:shd w:val="clear" w:color="auto" w:fill="FFFFFF"/>
        </w:rPr>
        <w:t>0.37</w:t>
      </w:r>
      <w:r>
        <w:rPr>
          <w:rFonts w:hint="eastAsia" w:ascii="Segoe UI" w:hAnsi="Segoe UI" w:cs="Segoe UI"/>
          <w:color w:val="0F1115"/>
          <w:shd w:val="clear" w:color="auto" w:fill="FFFFFF"/>
        </w:rPr>
        <w:t>，是因为除资产负债率，其他财务指标都有所改善，其中</w:t>
      </w:r>
      <w:r>
        <w:rPr>
          <w:rFonts w:ascii="Segoe UI" w:hAnsi="Segoe UI" w:cs="Segoe UI"/>
          <w:color w:val="0F1115"/>
          <w:shd w:val="clear" w:color="auto" w:fill="FFFFFF"/>
        </w:rPr>
        <w:t>营业收入增长率达</w:t>
      </w:r>
      <w:r>
        <w:rPr>
          <w:color w:val="0F1115"/>
          <w:shd w:val="clear" w:color="auto" w:fill="FFFFFF"/>
        </w:rPr>
        <w:t>121%</w:t>
      </w:r>
      <w:r>
        <w:rPr>
          <w:rFonts w:ascii="Segoe UI" w:hAnsi="Segoe UI" w:cs="Segoe UI"/>
          <w:color w:val="0F1115"/>
          <w:shd w:val="clear" w:color="auto" w:fill="FFFFFF"/>
        </w:rPr>
        <w:t>、所有者权益增长率达</w:t>
      </w:r>
      <w:r>
        <w:rPr>
          <w:color w:val="0F1115"/>
          <w:shd w:val="clear" w:color="auto" w:fill="FFFFFF"/>
        </w:rPr>
        <w:t>60%</w:t>
      </w:r>
      <w:r>
        <w:rPr>
          <w:rFonts w:ascii="Segoe UI" w:hAnsi="Segoe UI" w:cs="Segoe UI"/>
          <w:color w:val="0F1115"/>
          <w:shd w:val="clear" w:color="auto" w:fill="FFFFFF"/>
        </w:rPr>
        <w:t>，多项指标共同</w:t>
      </w:r>
      <w:r>
        <w:rPr>
          <w:rFonts w:hint="eastAsia" w:ascii="Segoe UI" w:hAnsi="Segoe UI" w:cs="Segoe UI"/>
          <w:color w:val="0F1115"/>
          <w:shd w:val="clear" w:color="auto" w:fill="FFFFFF"/>
        </w:rPr>
        <w:t>好转</w:t>
      </w:r>
      <w:r>
        <w:rPr>
          <w:rFonts w:ascii="Segoe UI" w:hAnsi="Segoe UI" w:cs="Segoe UI"/>
          <w:color w:val="0F1115"/>
          <w:shd w:val="clear" w:color="auto" w:fill="FFFFFF"/>
        </w:rPr>
        <w:t>，推动</w:t>
      </w:r>
      <w:r>
        <w:rPr>
          <w:rFonts w:hint="eastAsia" w:ascii="Segoe UI" w:hAnsi="Segoe UI" w:cs="Segoe UI"/>
          <w:color w:val="0F1115"/>
          <w:shd w:val="clear" w:color="auto" w:fill="FFFFFF"/>
        </w:rPr>
        <w:t>综合</w:t>
      </w:r>
      <w:r>
        <w:rPr>
          <w:rFonts w:ascii="Segoe UI" w:hAnsi="Segoe UI" w:cs="Segoe UI"/>
          <w:color w:val="0F1115"/>
          <w:shd w:val="clear" w:color="auto" w:fill="FFFFFF"/>
        </w:rPr>
        <w:t>得分</w:t>
      </w:r>
      <w:r>
        <w:rPr>
          <w:rFonts w:hint="eastAsia" w:ascii="Segoe UI" w:hAnsi="Segoe UI" w:cs="Segoe UI"/>
          <w:color w:val="0F1115"/>
          <w:shd w:val="clear" w:color="auto" w:fill="FFFFFF"/>
        </w:rPr>
        <w:t>提升</w:t>
      </w:r>
      <w:r>
        <w:rPr>
          <w:rFonts w:ascii="Segoe UI" w:hAnsi="Segoe UI" w:cs="Segoe UI"/>
          <w:color w:val="0F1115"/>
          <w:shd w:val="clear" w:color="auto" w:fill="FFFFFF"/>
        </w:rPr>
        <w:t>。</w:t>
      </w:r>
      <w:r>
        <w:rPr>
          <w:color w:val="0F1115"/>
          <w:shd w:val="clear" w:color="auto" w:fill="FFFFFF"/>
        </w:rPr>
        <w:t>20</w:t>
      </w:r>
      <w:bookmarkEnd w:id="247"/>
      <w:r>
        <w:rPr>
          <w:color w:val="0F1115"/>
          <w:shd w:val="clear" w:color="auto" w:fill="FFFFFF"/>
        </w:rPr>
        <w:t>22</w:t>
      </w:r>
      <w:r>
        <w:rPr>
          <w:rFonts w:ascii="Segoe UI" w:hAnsi="Segoe UI" w:cs="Segoe UI"/>
          <w:color w:val="0F1115"/>
          <w:shd w:val="clear" w:color="auto" w:fill="FFFFFF"/>
        </w:rPr>
        <w:t>年后得分持续走低</w:t>
      </w:r>
      <w:r>
        <w:rPr>
          <w:rFonts w:hint="eastAsia" w:ascii="Segoe UI" w:hAnsi="Segoe UI" w:cs="Segoe UI"/>
          <w:color w:val="0F1115"/>
          <w:shd w:val="clear" w:color="auto" w:fill="FFFFFF"/>
        </w:rPr>
        <w:t>，是由于</w:t>
      </w:r>
      <w:r>
        <w:rPr>
          <w:rFonts w:ascii="Segoe UI" w:hAnsi="Segoe UI" w:cs="Segoe UI"/>
          <w:color w:val="0F1115"/>
          <w:shd w:val="clear" w:color="auto" w:fill="FFFFFF"/>
        </w:rPr>
        <w:t>营业收入增长率连续三年为负，应收账款周转率降至</w:t>
      </w:r>
      <w:r>
        <w:rPr>
          <w:color w:val="0F1115"/>
          <w:shd w:val="clear" w:color="auto" w:fill="FFFFFF"/>
        </w:rPr>
        <w:t>1.30-1.76</w:t>
      </w:r>
      <w:r>
        <w:rPr>
          <w:rFonts w:ascii="Segoe UI" w:hAnsi="Segoe UI" w:cs="Segoe UI"/>
          <w:color w:val="0F1115"/>
          <w:shd w:val="clear" w:color="auto" w:fill="FFFFFF"/>
        </w:rPr>
        <w:t>次，总资产周转率降至</w:t>
      </w:r>
      <w:r>
        <w:rPr>
          <w:color w:val="0F1115"/>
          <w:shd w:val="clear" w:color="auto" w:fill="FFFFFF"/>
        </w:rPr>
        <w:t>0.13-0.21</w:t>
      </w:r>
      <w:r>
        <w:rPr>
          <w:rFonts w:ascii="Segoe UI" w:hAnsi="Segoe UI" w:cs="Segoe UI"/>
          <w:color w:val="0F1115"/>
          <w:shd w:val="clear" w:color="auto" w:fill="FFFFFF"/>
        </w:rPr>
        <w:t>次</w:t>
      </w:r>
      <w:r>
        <w:rPr>
          <w:rFonts w:hint="eastAsia" w:ascii="Segoe UI" w:hAnsi="Segoe UI" w:cs="Segoe UI"/>
          <w:color w:val="0F1115"/>
          <w:shd w:val="clear" w:color="auto" w:fill="FFFFFF"/>
        </w:rPr>
        <w:t>。</w:t>
      </w:r>
    </w:p>
    <w:bookmarkEnd w:id="245"/>
    <w:p w14:paraId="09F0D69A">
      <w:pPr>
        <w:pStyle w:val="32"/>
        <w:ind w:firstLine="480"/>
        <w:rPr>
          <w:rFonts w:ascii="Segoe UI" w:hAnsi="Segoe UI" w:cs="Segoe UI"/>
          <w:color w:val="0F1115"/>
          <w:shd w:val="clear" w:color="auto" w:fill="FFFFFF"/>
        </w:rPr>
      </w:pPr>
      <w:r>
        <w:rPr>
          <w:rFonts w:hint="eastAsia" w:ascii="Segoe UI" w:hAnsi="Segoe UI" w:cs="Segoe UI"/>
          <w:color w:val="0F1115"/>
          <w:shd w:val="clear" w:color="auto" w:fill="FFFFFF"/>
        </w:rPr>
        <w:t>（</w:t>
      </w:r>
      <w:r>
        <w:rPr>
          <w:color w:val="0F1115"/>
          <w:shd w:val="clear" w:color="auto" w:fill="FFFFFF"/>
        </w:rPr>
        <w:t>2</w:t>
      </w:r>
      <w:r>
        <w:rPr>
          <w:rFonts w:hint="eastAsia" w:ascii="Segoe UI" w:hAnsi="Segoe UI" w:cs="Segoe UI"/>
          <w:color w:val="0F1115"/>
          <w:shd w:val="clear" w:color="auto" w:fill="FFFFFF"/>
        </w:rPr>
        <w:t>）偿债能力评价结果分析</w:t>
      </w:r>
    </w:p>
    <w:p w14:paraId="77659AFF">
      <w:pPr>
        <w:keepNext/>
        <w:ind w:firstLine="0" w:firstLineChars="0"/>
        <w:rPr>
          <w:rFonts w:ascii="Segoe UI" w:hAnsi="Segoe UI" w:cs="Segoe UI"/>
          <w:color w:val="0F1115"/>
          <w:shd w:val="clear" w:color="auto" w:fill="FFFFFF"/>
        </w:rPr>
      </w:pPr>
      <w:r>
        <w:rPr>
          <w:rFonts w:hint="eastAsia" w:ascii="Segoe UI" w:hAnsi="Segoe UI" w:cs="Segoe UI"/>
          <w:color w:val="0F1115"/>
          <w:shd w:val="clear" w:color="auto" w:fill="FFFFFF"/>
        </w:rPr>
        <w:drawing>
          <wp:inline distT="0" distB="0" distL="114300" distR="114300">
            <wp:extent cx="5259070" cy="1925955"/>
            <wp:effectExtent l="0" t="0" r="17780" b="17145"/>
            <wp:docPr id="3" name="图表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FF82CAA">
      <w:pPr>
        <w:ind w:firstLine="0" w:firstLineChars="0"/>
        <w:rPr>
          <w:rFonts w:ascii="Segoe UI" w:hAnsi="Segoe UI" w:cs="Segoe UI"/>
          <w:color w:val="0F1115"/>
          <w:shd w:val="clear" w:color="auto" w:fill="FFFFFF"/>
        </w:rPr>
      </w:pPr>
      <w:r>
        <w:rPr>
          <w:rFonts w:hint="eastAsia"/>
          <w:sz w:val="21"/>
          <w:szCs w:val="18"/>
        </w:rPr>
        <w:t>数据来源：二级指标数据汇总整理。</w:t>
      </w:r>
    </w:p>
    <w:p w14:paraId="3ED62B55">
      <w:pPr>
        <w:pStyle w:val="6"/>
        <w:spacing w:before="156" w:after="156"/>
        <w:ind w:firstLine="422"/>
        <w:rPr>
          <w:rFonts w:ascii="Segoe UI" w:hAnsi="Segoe UI" w:cs="Segoe UI"/>
          <w:color w:val="0F1115"/>
          <w:shd w:val="clear" w:color="auto" w:fill="FFFFFF"/>
        </w:rPr>
      </w:pPr>
      <w:bookmarkStart w:id="248" w:name="_Ref16982"/>
      <w:r>
        <w:t>图3.</w:t>
      </w:r>
      <w:r>
        <w:fldChar w:fldCharType="begin"/>
      </w:r>
      <w:r>
        <w:instrText xml:space="preserve"> SEQ 图3. \* ARABIC </w:instrText>
      </w:r>
      <w:r>
        <w:fldChar w:fldCharType="separate"/>
      </w:r>
      <w:r>
        <w:t>11</w:t>
      </w:r>
      <w:r>
        <w:fldChar w:fldCharType="end"/>
      </w:r>
      <w:bookmarkEnd w:id="248"/>
      <w:bookmarkStart w:id="249" w:name="_Ref229263167"/>
      <w:r>
        <w:rPr>
          <w:rFonts w:hint="eastAsia"/>
        </w:rPr>
        <w:t xml:space="preserve">  川能动力2017-2025偿债能力综合得分</w:t>
      </w:r>
      <w:bookmarkEnd w:id="249"/>
    </w:p>
    <w:p w14:paraId="394930D9">
      <w:pPr>
        <w:ind w:firstLine="480"/>
      </w:pPr>
      <w:bookmarkStart w:id="250" w:name="OLE_LINK56"/>
      <w:bookmarkEnd w:id="250"/>
      <w:bookmarkStart w:id="251" w:name="OLE_LINK60"/>
      <w:bookmarkEnd w:id="251"/>
      <w:bookmarkStart w:id="252" w:name="OLE_LINK102"/>
      <w:bookmarkEnd w:id="252"/>
      <w:bookmarkStart w:id="253" w:name="OLE_LINK99"/>
      <w:bookmarkEnd w:id="253"/>
      <w:bookmarkStart w:id="254" w:name="OLE_LINK57"/>
      <w:bookmarkEnd w:id="254"/>
      <w:bookmarkStart w:id="255" w:name="OLE_LINK3"/>
      <w:bookmarkEnd w:id="255"/>
      <w:r>
        <w:rPr>
          <w:rFonts w:hint="eastAsia"/>
        </w:rPr>
        <w:t>由</w:t>
      </w:r>
      <w:r>
        <w:rPr>
          <w:rFonts w:hint="eastAsia"/>
        </w:rPr>
        <w:fldChar w:fldCharType="begin"/>
      </w:r>
      <w:r>
        <w:rPr>
          <w:rFonts w:hint="eastAsia"/>
        </w:rPr>
        <w:instrText xml:space="preserve"> REF _Ref15920 \h </w:instrText>
      </w:r>
      <w:r>
        <w:rPr>
          <w:rFonts w:hint="eastAsia"/>
        </w:rPr>
        <w:fldChar w:fldCharType="separate"/>
      </w:r>
      <w:r>
        <w:t>表3.2</w:t>
      </w:r>
      <w:r>
        <w:rPr>
          <w:rFonts w:hint="eastAsia"/>
        </w:rPr>
        <w:fldChar w:fldCharType="end"/>
      </w:r>
      <w:r>
        <w:rPr>
          <w:rFonts w:hint="eastAsia"/>
        </w:rPr>
        <w:t>可知，</w:t>
      </w:r>
      <w:r>
        <w:rPr>
          <w:rFonts w:ascii="Segoe UI" w:hAnsi="Segoe UI" w:cs="Segoe UI"/>
          <w:color w:val="0F1115"/>
          <w:shd w:val="clear" w:color="auto" w:fill="FFFFFF"/>
        </w:rPr>
        <w:t>偿债能力权重为</w:t>
      </w:r>
      <w:r>
        <w:t>15.74%</w:t>
      </w:r>
      <w:r>
        <w:rPr>
          <w:rFonts w:ascii="Segoe UI" w:hAnsi="Segoe UI" w:cs="Segoe UI"/>
          <w:color w:val="0F1115"/>
          <w:shd w:val="clear" w:color="auto" w:fill="FFFFFF"/>
        </w:rPr>
        <w:t>，其中流动比率权重</w:t>
      </w:r>
      <w:r>
        <w:rPr>
          <w:rFonts w:hint="eastAsia" w:ascii="Segoe UI" w:hAnsi="Segoe UI" w:cs="Segoe UI"/>
          <w:color w:val="0F1115"/>
          <w:shd w:val="clear" w:color="auto" w:fill="FFFFFF"/>
        </w:rPr>
        <w:t>为</w:t>
      </w:r>
      <w:r>
        <w:t>9.07%</w:t>
      </w:r>
      <w:r>
        <w:rPr>
          <w:rFonts w:hint="eastAsia" w:ascii="Segoe UI" w:hAnsi="Segoe UI" w:cs="Segoe UI"/>
          <w:color w:val="0F1115"/>
          <w:shd w:val="clear" w:color="auto" w:fill="FFFFFF"/>
        </w:rPr>
        <w:t>，</w:t>
      </w:r>
      <w:r>
        <w:rPr>
          <w:rFonts w:ascii="Segoe UI" w:hAnsi="Segoe UI" w:cs="Segoe UI"/>
          <w:color w:val="0F1115"/>
          <w:shd w:val="clear" w:color="auto" w:fill="FFFFFF"/>
        </w:rPr>
        <w:t>资产负债率</w:t>
      </w:r>
      <w:r>
        <w:rPr>
          <w:rFonts w:hint="eastAsia" w:ascii="Segoe UI" w:hAnsi="Segoe UI" w:cs="Segoe UI"/>
          <w:color w:val="0F1115"/>
          <w:shd w:val="clear" w:color="auto" w:fill="FFFFFF"/>
        </w:rPr>
        <w:t>权重为</w:t>
      </w:r>
      <w:r>
        <w:t>6.67%</w:t>
      </w:r>
      <w:r>
        <w:rPr>
          <w:rFonts w:ascii="Segoe UI" w:hAnsi="Segoe UI" w:cs="Segoe UI"/>
          <w:color w:val="0F1115"/>
          <w:shd w:val="clear" w:color="auto" w:fill="FFFFFF"/>
        </w:rPr>
        <w:t>，</w:t>
      </w:r>
      <w:r>
        <w:rPr>
          <w:rFonts w:hint="eastAsia" w:ascii="Segoe UI" w:hAnsi="Segoe UI" w:cs="Segoe UI"/>
          <w:color w:val="0F1115"/>
          <w:shd w:val="clear" w:color="auto" w:fill="FFFFFF"/>
        </w:rPr>
        <w:t>流动比率</w:t>
      </w:r>
      <w:r>
        <w:rPr>
          <w:rFonts w:ascii="Segoe UI" w:hAnsi="Segoe UI" w:cs="Segoe UI"/>
          <w:color w:val="0F1115"/>
          <w:shd w:val="clear" w:color="auto" w:fill="FFFFFF"/>
        </w:rPr>
        <w:t>对偿债</w:t>
      </w:r>
      <w:r>
        <w:rPr>
          <w:rFonts w:hint="eastAsia" w:ascii="Segoe UI" w:hAnsi="Segoe UI" w:cs="Segoe UI"/>
          <w:color w:val="0F1115"/>
          <w:shd w:val="clear" w:color="auto" w:fill="FFFFFF"/>
        </w:rPr>
        <w:t>能力</w:t>
      </w:r>
      <w:r>
        <w:rPr>
          <w:rFonts w:ascii="Segoe UI" w:hAnsi="Segoe UI" w:cs="Segoe UI"/>
          <w:color w:val="0F1115"/>
          <w:shd w:val="clear" w:color="auto" w:fill="FFFFFF"/>
        </w:rPr>
        <w:t>的影响更为明显。从</w:t>
      </w:r>
      <w:r>
        <w:rPr>
          <w:rFonts w:ascii="Segoe UI" w:hAnsi="Segoe UI" w:cs="Segoe UI"/>
          <w:color w:val="0F1115"/>
          <w:shd w:val="clear" w:color="auto" w:fill="FFFFFF"/>
        </w:rPr>
        <w:fldChar w:fldCharType="begin"/>
      </w:r>
      <w:r>
        <w:rPr>
          <w:rFonts w:ascii="Segoe UI" w:hAnsi="Segoe UI" w:cs="Segoe UI"/>
          <w:color w:val="0F1115"/>
          <w:shd w:val="clear" w:color="auto" w:fill="FFFFFF"/>
        </w:rPr>
        <w:instrText xml:space="preserve"> REF _Ref16982 \h </w:instrText>
      </w:r>
      <w:r>
        <w:rPr>
          <w:rFonts w:ascii="Segoe UI" w:hAnsi="Segoe UI" w:cs="Segoe UI"/>
          <w:color w:val="0F1115"/>
          <w:shd w:val="clear" w:color="auto" w:fill="FFFFFF"/>
        </w:rPr>
        <w:fldChar w:fldCharType="separate"/>
      </w:r>
      <w:r>
        <w:t>图3.11</w:t>
      </w:r>
      <w:r>
        <w:rPr>
          <w:rFonts w:ascii="Segoe UI" w:hAnsi="Segoe UI" w:cs="Segoe UI"/>
          <w:color w:val="0F1115"/>
          <w:shd w:val="clear" w:color="auto" w:fill="FFFFFF"/>
        </w:rPr>
        <w:fldChar w:fldCharType="end"/>
      </w:r>
      <w:r>
        <w:rPr>
          <w:rFonts w:hint="eastAsia" w:ascii="Segoe UI" w:hAnsi="Segoe UI" w:cs="Segoe UI"/>
          <w:color w:val="0F1115"/>
          <w:shd w:val="clear" w:color="auto" w:fill="FFFFFF"/>
        </w:rPr>
        <w:t>来看</w:t>
      </w:r>
      <w:r>
        <w:rPr>
          <w:rFonts w:ascii="Segoe UI" w:hAnsi="Segoe UI" w:cs="Segoe UI"/>
          <w:color w:val="0F1115"/>
          <w:shd w:val="clear" w:color="auto" w:fill="FFFFFF"/>
        </w:rPr>
        <w:t>，偿债能力得分</w:t>
      </w:r>
      <w:r>
        <w:rPr>
          <w:rFonts w:hint="eastAsia" w:ascii="Segoe UI" w:hAnsi="Segoe UI" w:cs="Segoe UI"/>
          <w:color w:val="0F1115"/>
          <w:shd w:val="clear" w:color="auto" w:fill="FFFFFF"/>
        </w:rPr>
        <w:t>在</w:t>
      </w:r>
      <w:r>
        <w:t>202</w:t>
      </w:r>
      <w:r>
        <w:rPr>
          <w:rFonts w:hint="eastAsia"/>
        </w:rPr>
        <w:t>1-2022</w:t>
      </w:r>
      <w:r>
        <w:rPr>
          <w:rFonts w:ascii="Segoe UI" w:hAnsi="Segoe UI" w:cs="Segoe UI"/>
          <w:color w:val="0F1115"/>
          <w:shd w:val="clear" w:color="auto" w:fill="FFFFFF"/>
        </w:rPr>
        <w:t>年得分较低，</w:t>
      </w:r>
      <w:r>
        <w:rPr>
          <w:rFonts w:hint="eastAsia" w:ascii="Segoe UI" w:hAnsi="Segoe UI" w:cs="Segoe UI"/>
          <w:color w:val="0F1115"/>
          <w:shd w:val="clear" w:color="auto" w:fill="FFFFFF"/>
        </w:rPr>
        <w:t>结合前文偿债能力分析分析，</w:t>
      </w:r>
      <w:r>
        <w:rPr>
          <w:rFonts w:ascii="Segoe UI" w:hAnsi="Segoe UI" w:cs="Segoe UI"/>
          <w:color w:val="0F1115"/>
          <w:shd w:val="clear" w:color="auto" w:fill="FFFFFF"/>
        </w:rPr>
        <w:t>主要</w:t>
      </w:r>
      <w:r>
        <w:rPr>
          <w:rFonts w:hint="eastAsia" w:ascii="Segoe UI" w:hAnsi="Segoe UI" w:cs="Segoe UI"/>
          <w:color w:val="0F1115"/>
          <w:shd w:val="clear" w:color="auto" w:fill="FFFFFF"/>
        </w:rPr>
        <w:t>是因为川能动力</w:t>
      </w:r>
      <w:r>
        <w:rPr>
          <w:rFonts w:ascii="Segoe UI" w:hAnsi="Segoe UI" w:cs="Segoe UI"/>
          <w:color w:val="0F1115"/>
          <w:shd w:val="clear" w:color="auto" w:fill="FFFFFF"/>
        </w:rPr>
        <w:t>为</w:t>
      </w:r>
      <w:r>
        <w:rPr>
          <w:rFonts w:hint="eastAsia" w:ascii="Segoe UI" w:hAnsi="Segoe UI" w:cs="Segoe UI"/>
          <w:color w:val="0F1115"/>
          <w:shd w:val="clear" w:color="auto" w:fill="FFFFFF"/>
        </w:rPr>
        <w:t>满足</w:t>
      </w:r>
      <w:r>
        <w:rPr>
          <w:rFonts w:ascii="Segoe UI" w:hAnsi="Segoe UI" w:cs="Segoe UI"/>
          <w:color w:val="0F1115"/>
          <w:shd w:val="clear" w:color="auto" w:fill="FFFFFF"/>
        </w:rPr>
        <w:t>转型期</w:t>
      </w:r>
      <w:bookmarkStart w:id="256" w:name="OLE_LINK259"/>
      <w:r>
        <w:rPr>
          <w:rFonts w:ascii="Segoe UI" w:hAnsi="Segoe UI" w:cs="Segoe UI"/>
          <w:color w:val="0F1115"/>
          <w:shd w:val="clear" w:color="auto" w:fill="FFFFFF"/>
        </w:rPr>
        <w:t>资产收购和项目建设</w:t>
      </w:r>
      <w:r>
        <w:rPr>
          <w:rFonts w:hint="eastAsia" w:ascii="Segoe UI" w:hAnsi="Segoe UI" w:cs="Segoe UI"/>
          <w:color w:val="0F1115"/>
          <w:shd w:val="clear" w:color="auto" w:fill="FFFFFF"/>
        </w:rPr>
        <w:t>的</w:t>
      </w:r>
      <w:bookmarkEnd w:id="256"/>
      <w:r>
        <w:rPr>
          <w:rFonts w:hint="eastAsia" w:ascii="Segoe UI" w:hAnsi="Segoe UI" w:cs="Segoe UI"/>
          <w:color w:val="0F1115"/>
          <w:shd w:val="clear" w:color="auto" w:fill="FFFFFF"/>
        </w:rPr>
        <w:t>资金需求</w:t>
      </w:r>
      <w:r>
        <w:rPr>
          <w:rFonts w:ascii="Segoe UI" w:hAnsi="Segoe UI" w:cs="Segoe UI"/>
          <w:color w:val="0F1115"/>
          <w:shd w:val="clear" w:color="auto" w:fill="FFFFFF"/>
        </w:rPr>
        <w:t>，短期借款和一年内到期的非流动负债大幅增加，流动负债增长速度超过流动资产，流动比率降至较低水平，从而拉低了偿债能力得分。</w:t>
      </w:r>
    </w:p>
    <w:p w14:paraId="47E3CDEC">
      <w:pPr>
        <w:ind w:firstLine="480"/>
      </w:pPr>
      <w:r>
        <w:rPr>
          <w:rFonts w:hint="eastAsia"/>
        </w:rPr>
        <w:t>（3）营运能力评价结果分析</w:t>
      </w:r>
    </w:p>
    <w:p w14:paraId="095FAF74">
      <w:pPr>
        <w:keepNext/>
        <w:ind w:firstLine="0" w:firstLineChars="0"/>
      </w:pPr>
      <w:r>
        <w:drawing>
          <wp:inline distT="0" distB="0" distL="114300" distR="114300">
            <wp:extent cx="5259070" cy="1925955"/>
            <wp:effectExtent l="0" t="0" r="17780" b="17145"/>
            <wp:docPr id="4" name="图表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6DAAB04">
      <w:pPr>
        <w:ind w:firstLine="0" w:firstLineChars="0"/>
      </w:pPr>
      <w:r>
        <w:rPr>
          <w:rFonts w:hint="eastAsia"/>
          <w:sz w:val="21"/>
          <w:szCs w:val="18"/>
        </w:rPr>
        <w:t>数据来源：二级指标数据汇总整理。</w:t>
      </w:r>
    </w:p>
    <w:p w14:paraId="7DDF82EE">
      <w:pPr>
        <w:pStyle w:val="6"/>
        <w:keepNext/>
        <w:spacing w:before="156" w:after="156"/>
        <w:ind w:firstLine="0" w:firstLineChars="0"/>
      </w:pPr>
      <w:bookmarkStart w:id="257" w:name="_Ref17651"/>
      <w:r>
        <w:t>图3.</w:t>
      </w:r>
      <w:r>
        <w:fldChar w:fldCharType="begin"/>
      </w:r>
      <w:r>
        <w:instrText xml:space="preserve"> SEQ 图3. \* ARABIC </w:instrText>
      </w:r>
      <w:r>
        <w:fldChar w:fldCharType="separate"/>
      </w:r>
      <w:r>
        <w:t>12</w:t>
      </w:r>
      <w:r>
        <w:fldChar w:fldCharType="end"/>
      </w:r>
      <w:bookmarkEnd w:id="257"/>
      <w:r>
        <w:rPr>
          <w:rFonts w:hint="eastAsia"/>
        </w:rPr>
        <w:t xml:space="preserve">  川能动力2017-2025营运能力综合得分</w:t>
      </w:r>
      <w:bookmarkStart w:id="258" w:name="OLE_LINK13"/>
      <w:r>
        <w:rPr>
          <w:rFonts w:hint="eastAsia"/>
        </w:rPr>
        <w:t xml:space="preserve"> </w:t>
      </w:r>
      <w:bookmarkEnd w:id="258"/>
    </w:p>
    <w:p w14:paraId="02AED36F">
      <w:pPr>
        <w:ind w:firstLine="480"/>
      </w:pPr>
      <w:bookmarkStart w:id="259" w:name="OLE_LINK149"/>
      <w:bookmarkEnd w:id="259"/>
      <w:bookmarkStart w:id="260" w:name="OLE_LINK151"/>
      <w:bookmarkEnd w:id="260"/>
      <w:bookmarkStart w:id="261" w:name="OLE_LINK4"/>
      <w:bookmarkEnd w:id="261"/>
      <w:bookmarkStart w:id="262" w:name="OLE_LINK138"/>
      <w:bookmarkEnd w:id="262"/>
      <w:bookmarkStart w:id="263" w:name="OLE_LINK152"/>
      <w:bookmarkEnd w:id="263"/>
      <w:bookmarkStart w:id="264" w:name="OLE_LINK71"/>
      <w:bookmarkEnd w:id="264"/>
      <w:bookmarkStart w:id="265" w:name="OLE_LINK35"/>
      <w:bookmarkEnd w:id="265"/>
      <w:bookmarkStart w:id="266" w:name="OLE_LINK106"/>
      <w:r>
        <w:rPr>
          <w:rFonts w:hint="eastAsia"/>
        </w:rPr>
        <w:t>由</w:t>
      </w:r>
      <w:r>
        <w:rPr>
          <w:rFonts w:hint="eastAsia"/>
        </w:rPr>
        <w:fldChar w:fldCharType="begin"/>
      </w:r>
      <w:r>
        <w:rPr>
          <w:rFonts w:hint="eastAsia"/>
        </w:rPr>
        <w:instrText xml:space="preserve"> REF _Ref15920 \h </w:instrText>
      </w:r>
      <w:r>
        <w:rPr>
          <w:rFonts w:hint="eastAsia"/>
        </w:rPr>
        <w:fldChar w:fldCharType="separate"/>
      </w:r>
      <w:r>
        <w:t>表3.2</w:t>
      </w:r>
      <w:r>
        <w:rPr>
          <w:rFonts w:hint="eastAsia"/>
        </w:rPr>
        <w:fldChar w:fldCharType="end"/>
      </w:r>
      <w:r>
        <w:rPr>
          <w:rFonts w:hint="eastAsia"/>
        </w:rPr>
        <w:t>可知，</w:t>
      </w:r>
      <w:r>
        <w:rPr>
          <w:rFonts w:ascii="Segoe UI" w:hAnsi="Segoe UI" w:cs="Segoe UI"/>
          <w:color w:val="0F1115"/>
          <w:shd w:val="clear" w:color="auto" w:fill="FFFFFF"/>
        </w:rPr>
        <w:t>营运能力权重为</w:t>
      </w:r>
      <w:r>
        <w:t>42.13%</w:t>
      </w:r>
      <w:r>
        <w:rPr>
          <w:rFonts w:ascii="Segoe UI" w:hAnsi="Segoe UI" w:cs="Segoe UI"/>
          <w:color w:val="0F1115"/>
          <w:shd w:val="clear" w:color="auto" w:fill="FFFFFF"/>
        </w:rPr>
        <w:t>，应收账款周转率</w:t>
      </w:r>
      <w:r>
        <w:rPr>
          <w:rFonts w:hint="eastAsia" w:ascii="Segoe UI" w:hAnsi="Segoe UI" w:cs="Segoe UI"/>
          <w:color w:val="0F1115"/>
          <w:shd w:val="clear" w:color="auto" w:fill="FFFFFF"/>
        </w:rPr>
        <w:t>的</w:t>
      </w:r>
      <w:r>
        <w:rPr>
          <w:rFonts w:ascii="Segoe UI" w:hAnsi="Segoe UI" w:cs="Segoe UI"/>
          <w:color w:val="0F1115"/>
          <w:shd w:val="clear" w:color="auto" w:fill="FFFFFF"/>
        </w:rPr>
        <w:t>权重</w:t>
      </w:r>
      <w:r>
        <w:rPr>
          <w:rFonts w:hint="eastAsia" w:ascii="Segoe UI" w:hAnsi="Segoe UI" w:cs="Segoe UI"/>
          <w:color w:val="0F1115"/>
          <w:shd w:val="clear" w:color="auto" w:fill="FFFFFF"/>
        </w:rPr>
        <w:t>为</w:t>
      </w:r>
      <w:r>
        <w:rPr>
          <w:rFonts w:hint="eastAsia"/>
        </w:rPr>
        <w:t>20.40%</w:t>
      </w:r>
      <w:r>
        <w:rPr>
          <w:rFonts w:hint="eastAsia" w:ascii="Segoe UI" w:hAnsi="Segoe UI" w:cs="Segoe UI"/>
          <w:color w:val="0F1115"/>
          <w:shd w:val="clear" w:color="auto" w:fill="FFFFFF"/>
        </w:rPr>
        <w:t>，</w:t>
      </w:r>
      <w:r>
        <w:rPr>
          <w:rFonts w:ascii="Segoe UI" w:hAnsi="Segoe UI" w:cs="Segoe UI"/>
          <w:color w:val="0F1115"/>
          <w:shd w:val="clear" w:color="auto" w:fill="FFFFFF"/>
        </w:rPr>
        <w:t>总资产周转率</w:t>
      </w:r>
      <w:r>
        <w:rPr>
          <w:rFonts w:hint="eastAsia" w:ascii="Segoe UI" w:hAnsi="Segoe UI" w:cs="Segoe UI"/>
          <w:color w:val="0F1115"/>
          <w:shd w:val="clear" w:color="auto" w:fill="FFFFFF"/>
        </w:rPr>
        <w:t>的权重为</w:t>
      </w:r>
      <w:r>
        <w:rPr>
          <w:rFonts w:hint="eastAsia"/>
        </w:rPr>
        <w:t>21.73%，</w:t>
      </w:r>
      <w:r>
        <w:rPr>
          <w:rFonts w:ascii="Segoe UI" w:hAnsi="Segoe UI" w:cs="Segoe UI"/>
          <w:color w:val="0F1115"/>
          <w:shd w:val="clear" w:color="auto" w:fill="FFFFFF"/>
        </w:rPr>
        <w:t>从</w:t>
      </w:r>
      <w:r>
        <w:rPr>
          <w:rFonts w:ascii="Segoe UI" w:hAnsi="Segoe UI" w:cs="Segoe UI"/>
          <w:color w:val="0F1115"/>
          <w:shd w:val="clear" w:color="auto" w:fill="FFFFFF"/>
        </w:rPr>
        <w:fldChar w:fldCharType="begin"/>
      </w:r>
      <w:r>
        <w:rPr>
          <w:rFonts w:ascii="Segoe UI" w:hAnsi="Segoe UI" w:cs="Segoe UI"/>
          <w:color w:val="0F1115"/>
          <w:shd w:val="clear" w:color="auto" w:fill="FFFFFF"/>
        </w:rPr>
        <w:instrText xml:space="preserve"> REF _Ref229263390 \h </w:instrText>
      </w:r>
      <w:r>
        <w:rPr>
          <w:rFonts w:ascii="Segoe UI" w:hAnsi="Segoe UI" w:cs="Segoe UI"/>
          <w:color w:val="0F1115"/>
          <w:shd w:val="clear" w:color="auto" w:fill="FFFFFF"/>
        </w:rPr>
        <w:fldChar w:fldCharType="separate"/>
      </w:r>
      <w:r>
        <w:rPr>
          <w:rFonts w:ascii="Segoe UI" w:hAnsi="Segoe UI" w:cs="Segoe UI"/>
          <w:color w:val="0F1115"/>
          <w:shd w:val="clear" w:color="auto" w:fill="FFFFFF"/>
        </w:rPr>
        <w:fldChar w:fldCharType="begin"/>
      </w:r>
      <w:r>
        <w:rPr>
          <w:rFonts w:ascii="Segoe UI" w:hAnsi="Segoe UI" w:cs="Segoe UI"/>
          <w:color w:val="0F1115"/>
          <w:shd w:val="clear" w:color="auto" w:fill="FFFFFF"/>
        </w:rPr>
        <w:instrText xml:space="preserve"> REF _Ref17651 \h </w:instrText>
      </w:r>
      <w:r>
        <w:rPr>
          <w:rFonts w:ascii="Segoe UI" w:hAnsi="Segoe UI" w:cs="Segoe UI"/>
          <w:color w:val="0F1115"/>
          <w:shd w:val="clear" w:color="auto" w:fill="FFFFFF"/>
        </w:rPr>
        <w:fldChar w:fldCharType="separate"/>
      </w:r>
      <w:r>
        <w:t>图3.12</w:t>
      </w:r>
      <w:r>
        <w:rPr>
          <w:rFonts w:ascii="Segoe UI" w:hAnsi="Segoe UI" w:cs="Segoe UI"/>
          <w:color w:val="0F1115"/>
          <w:shd w:val="clear" w:color="auto" w:fill="FFFFFF"/>
        </w:rPr>
        <w:fldChar w:fldCharType="end"/>
      </w:r>
      <w:r>
        <w:rPr>
          <w:rFonts w:ascii="Segoe UI" w:hAnsi="Segoe UI" w:cs="Segoe UI"/>
          <w:color w:val="0F1115"/>
          <w:shd w:val="clear" w:color="auto" w:fill="FFFFFF"/>
        </w:rPr>
        <w:fldChar w:fldCharType="end"/>
      </w:r>
      <w:r>
        <w:rPr>
          <w:rFonts w:hint="eastAsia" w:ascii="Segoe UI" w:hAnsi="Segoe UI" w:cs="Segoe UI"/>
          <w:color w:val="0F1115"/>
          <w:shd w:val="clear" w:color="auto" w:fill="FFFFFF"/>
        </w:rPr>
        <w:t>来看，</w:t>
      </w:r>
      <w:r>
        <w:rPr>
          <w:rFonts w:ascii="Segoe UI" w:hAnsi="Segoe UI" w:cs="Segoe UI"/>
          <w:color w:val="0F1115"/>
          <w:shd w:val="clear" w:color="auto" w:fill="FFFFFF"/>
        </w:rPr>
        <w:t>营运能力得分</w:t>
      </w:r>
      <w:r>
        <w:t>2019</w:t>
      </w:r>
      <w:r>
        <w:rPr>
          <w:rFonts w:ascii="Segoe UI" w:hAnsi="Segoe UI" w:cs="Segoe UI"/>
          <w:color w:val="0F1115"/>
          <w:shd w:val="clear" w:color="auto" w:fill="FFFFFF"/>
        </w:rPr>
        <w:t>年后长期处于</w:t>
      </w:r>
      <w:r>
        <w:rPr>
          <w:rFonts w:hint="eastAsia" w:ascii="Segoe UI" w:hAnsi="Segoe UI" w:cs="Segoe UI"/>
          <w:color w:val="0F1115"/>
          <w:shd w:val="clear" w:color="auto" w:fill="FFFFFF"/>
        </w:rPr>
        <w:t>较低水平，</w:t>
      </w:r>
      <w:r>
        <w:rPr>
          <w:rFonts w:hint="eastAsia"/>
        </w:rPr>
        <w:t>2024</w:t>
      </w:r>
      <w:r>
        <w:rPr>
          <w:rFonts w:hint="eastAsia" w:ascii="Segoe UI" w:hAnsi="Segoe UI" w:cs="Segoe UI"/>
          <w:color w:val="0F1115"/>
          <w:shd w:val="clear" w:color="auto" w:fill="FFFFFF"/>
        </w:rPr>
        <w:t>年达到了最低点，</w:t>
      </w:r>
      <w:r>
        <w:rPr>
          <w:rFonts w:ascii="Segoe UI" w:hAnsi="Segoe UI" w:cs="Segoe UI"/>
          <w:color w:val="0F1115"/>
          <w:shd w:val="clear" w:color="auto" w:fill="FFFFFF"/>
        </w:rPr>
        <w:t>根据前文营运能力</w:t>
      </w:r>
      <w:r>
        <w:rPr>
          <w:rFonts w:hint="eastAsia" w:ascii="Segoe UI" w:hAnsi="Segoe UI" w:cs="Segoe UI"/>
          <w:color w:val="0F1115"/>
          <w:shd w:val="clear" w:color="auto" w:fill="FFFFFF"/>
        </w:rPr>
        <w:t>的</w:t>
      </w:r>
      <w:r>
        <w:rPr>
          <w:rFonts w:ascii="Segoe UI" w:hAnsi="Segoe UI" w:cs="Segoe UI"/>
          <w:color w:val="0F1115"/>
          <w:shd w:val="clear" w:color="auto" w:fill="FFFFFF"/>
        </w:rPr>
        <w:t>分析，</w:t>
      </w:r>
      <w:r>
        <w:rPr>
          <w:rFonts w:hint="eastAsia" w:ascii="Segoe UI" w:hAnsi="Segoe UI" w:cs="Segoe UI"/>
          <w:color w:val="0F1115"/>
          <w:shd w:val="clear" w:color="auto" w:fill="FFFFFF"/>
        </w:rPr>
        <w:t>这</w:t>
      </w:r>
      <w:r>
        <w:rPr>
          <w:rFonts w:ascii="Segoe UI" w:hAnsi="Segoe UI" w:cs="Segoe UI"/>
          <w:color w:val="0F1115"/>
          <w:shd w:val="clear" w:color="auto" w:fill="FFFFFF"/>
        </w:rPr>
        <w:t>主要是因为</w:t>
      </w:r>
      <w:r>
        <w:rPr>
          <w:rFonts w:hint="eastAsia" w:ascii="Segoe UI" w:hAnsi="Segoe UI" w:cs="Segoe UI"/>
          <w:color w:val="0F1115"/>
          <w:shd w:val="clear" w:color="auto" w:fill="FFFFFF"/>
        </w:rPr>
        <w:t>川能动力</w:t>
      </w:r>
      <w:r>
        <w:rPr>
          <w:rFonts w:ascii="Segoe UI" w:hAnsi="Segoe UI" w:cs="Segoe UI"/>
          <w:color w:val="0F1115"/>
          <w:shd w:val="clear" w:color="auto" w:fill="FFFFFF"/>
        </w:rPr>
        <w:t>绿色转型后资产规模大幅扩张，而营业收入</w:t>
      </w:r>
      <w:r>
        <w:rPr>
          <w:rFonts w:hint="eastAsia" w:ascii="Segoe UI" w:hAnsi="Segoe UI" w:cs="Segoe UI"/>
          <w:color w:val="0F1115"/>
          <w:shd w:val="clear" w:color="auto" w:fill="FFFFFF"/>
        </w:rPr>
        <w:t>有所下降</w:t>
      </w:r>
      <w:r>
        <w:rPr>
          <w:rFonts w:ascii="Segoe UI" w:hAnsi="Segoe UI" w:cs="Segoe UI"/>
          <w:color w:val="0F1115"/>
          <w:shd w:val="clear" w:color="auto" w:fill="FFFFFF"/>
        </w:rPr>
        <w:t>，同时</w:t>
      </w:r>
      <w:r>
        <w:rPr>
          <w:rFonts w:hint="eastAsia" w:ascii="Segoe UI" w:hAnsi="Segoe UI" w:cs="Segoe UI"/>
          <w:color w:val="0F1115"/>
          <w:shd w:val="clear" w:color="auto" w:fill="FFFFFF"/>
        </w:rPr>
        <w:t>公司受业务</w:t>
      </w:r>
      <w:r>
        <w:rPr>
          <w:rFonts w:ascii="Segoe UI" w:hAnsi="Segoe UI" w:cs="Segoe UI"/>
          <w:color w:val="0F1115"/>
          <w:shd w:val="clear" w:color="auto" w:fill="FFFFFF"/>
        </w:rPr>
        <w:t>结算周期长</w:t>
      </w:r>
      <w:r>
        <w:rPr>
          <w:rFonts w:hint="eastAsia" w:ascii="Segoe UI" w:hAnsi="Segoe UI" w:cs="Segoe UI"/>
          <w:color w:val="0F1115"/>
          <w:shd w:val="clear" w:color="auto" w:fill="FFFFFF"/>
        </w:rPr>
        <w:t>的影响</w:t>
      </w:r>
      <w:r>
        <w:rPr>
          <w:rFonts w:ascii="Segoe UI" w:hAnsi="Segoe UI" w:cs="Segoe UI"/>
          <w:color w:val="0F1115"/>
          <w:shd w:val="clear" w:color="auto" w:fill="FFFFFF"/>
        </w:rPr>
        <w:t>。</w:t>
      </w:r>
      <w:r>
        <w:t>2024</w:t>
      </w:r>
      <w:r>
        <w:rPr>
          <w:rFonts w:ascii="Segoe UI" w:hAnsi="Segoe UI" w:cs="Segoe UI"/>
          <w:color w:val="0F1115"/>
          <w:shd w:val="clear" w:color="auto" w:fill="FFFFFF"/>
        </w:rPr>
        <w:t>年为最低点，主要是当年应收账款周转率和总资产周转率均降至</w:t>
      </w:r>
      <w:r>
        <w:rPr>
          <w:rFonts w:hint="eastAsia" w:ascii="Segoe UI" w:hAnsi="Segoe UI" w:cs="Segoe UI"/>
          <w:color w:val="0F1115"/>
          <w:shd w:val="clear" w:color="auto" w:fill="FFFFFF"/>
        </w:rPr>
        <w:t>绿色</w:t>
      </w:r>
      <w:r>
        <w:rPr>
          <w:rFonts w:ascii="Segoe UI" w:hAnsi="Segoe UI" w:cs="Segoe UI"/>
          <w:color w:val="0F1115"/>
          <w:shd w:val="clear" w:color="auto" w:fill="FFFFFF"/>
        </w:rPr>
        <w:t>转型以来最低水平</w:t>
      </w:r>
      <w:r>
        <w:rPr>
          <w:rFonts w:hint="eastAsia"/>
        </w:rPr>
        <w:t>。</w:t>
      </w:r>
    </w:p>
    <w:bookmarkEnd w:id="266"/>
    <w:p w14:paraId="07F1FD41">
      <w:pPr>
        <w:ind w:firstLine="480"/>
      </w:pPr>
      <w:r>
        <w:rPr>
          <w:rFonts w:hint="eastAsia"/>
        </w:rPr>
        <w:t>（4）盈利能力评价结果分析</w:t>
      </w:r>
    </w:p>
    <w:p w14:paraId="698D555E">
      <w:pPr>
        <w:keepNext/>
        <w:ind w:firstLine="0" w:firstLineChars="0"/>
      </w:pPr>
      <w:r>
        <w:rPr>
          <w:rFonts w:hint="eastAsia"/>
        </w:rPr>
        <w:drawing>
          <wp:inline distT="0" distB="0" distL="114300" distR="114300">
            <wp:extent cx="5259070" cy="1925955"/>
            <wp:effectExtent l="0" t="0" r="17780" b="17145"/>
            <wp:docPr id="5" name="图表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E10F52A">
      <w:pPr>
        <w:ind w:firstLine="0" w:firstLineChars="0"/>
      </w:pPr>
      <w:bookmarkStart w:id="267" w:name="OLE_LINK1"/>
      <w:r>
        <w:rPr>
          <w:rFonts w:hint="eastAsia"/>
          <w:sz w:val="21"/>
          <w:szCs w:val="18"/>
        </w:rPr>
        <w:t>数据来源：二级指标数据汇总整理。</w:t>
      </w:r>
      <w:bookmarkEnd w:id="267"/>
    </w:p>
    <w:p w14:paraId="1B9A511C">
      <w:pPr>
        <w:pStyle w:val="6"/>
        <w:keepNext/>
        <w:spacing w:before="156" w:after="156"/>
        <w:ind w:firstLine="0" w:firstLineChars="0"/>
      </w:pPr>
      <w:bookmarkStart w:id="268" w:name="_Ref19761"/>
      <w:r>
        <w:t>图3.</w:t>
      </w:r>
      <w:r>
        <w:fldChar w:fldCharType="begin"/>
      </w:r>
      <w:r>
        <w:instrText xml:space="preserve"> SEQ 图3. \* ARABIC </w:instrText>
      </w:r>
      <w:r>
        <w:fldChar w:fldCharType="separate"/>
      </w:r>
      <w:r>
        <w:t>13</w:t>
      </w:r>
      <w:r>
        <w:fldChar w:fldCharType="end"/>
      </w:r>
      <w:bookmarkEnd w:id="268"/>
      <w:r>
        <w:rPr>
          <w:rFonts w:hint="eastAsia"/>
        </w:rPr>
        <w:t xml:space="preserve">  川能动力2017-2025盈利能力综合得分 </w:t>
      </w:r>
    </w:p>
    <w:p w14:paraId="0A265499">
      <w:pPr>
        <w:ind w:firstLine="480"/>
      </w:pPr>
      <w:bookmarkStart w:id="269" w:name="OLE_LINK9"/>
      <w:bookmarkEnd w:id="269"/>
      <w:bookmarkStart w:id="270" w:name="OLE_LINK110"/>
      <w:bookmarkEnd w:id="270"/>
      <w:bookmarkStart w:id="271" w:name="OLE_LINK108"/>
      <w:bookmarkEnd w:id="271"/>
      <w:bookmarkStart w:id="272" w:name="OLE_LINK111"/>
      <w:bookmarkEnd w:id="272"/>
      <w:bookmarkStart w:id="273" w:name="OLE_LINK107"/>
      <w:bookmarkEnd w:id="273"/>
      <w:bookmarkStart w:id="274" w:name="OLE_LINK109"/>
      <w:r>
        <w:rPr>
          <w:rFonts w:hint="eastAsia"/>
        </w:rPr>
        <w:t>由</w:t>
      </w:r>
      <w:r>
        <w:rPr>
          <w:rFonts w:hint="eastAsia"/>
        </w:rPr>
        <w:fldChar w:fldCharType="begin"/>
      </w:r>
      <w:r>
        <w:rPr>
          <w:rFonts w:hint="eastAsia"/>
        </w:rPr>
        <w:instrText xml:space="preserve"> REF _Ref15920 \h </w:instrText>
      </w:r>
      <w:r>
        <w:rPr>
          <w:rFonts w:hint="eastAsia"/>
        </w:rPr>
        <w:fldChar w:fldCharType="separate"/>
      </w:r>
      <w:r>
        <w:t>表3.2</w:t>
      </w:r>
      <w:r>
        <w:rPr>
          <w:rFonts w:hint="eastAsia"/>
        </w:rPr>
        <w:fldChar w:fldCharType="end"/>
      </w:r>
      <w:r>
        <w:rPr>
          <w:rFonts w:hint="eastAsia"/>
        </w:rPr>
        <w:t>可知，</w:t>
      </w:r>
      <w:r>
        <w:rPr>
          <w:rFonts w:ascii="Segoe UI" w:hAnsi="Segoe UI" w:cs="Segoe UI"/>
          <w:color w:val="0F1115"/>
          <w:shd w:val="clear" w:color="auto" w:fill="FFFFFF"/>
        </w:rPr>
        <w:t>盈利能力权重为</w:t>
      </w:r>
      <w:r>
        <w:t>14.62%</w:t>
      </w:r>
      <w:r>
        <w:rPr>
          <w:rFonts w:ascii="Segoe UI" w:hAnsi="Segoe UI" w:cs="Segoe UI"/>
          <w:color w:val="0F1115"/>
          <w:shd w:val="clear" w:color="auto" w:fill="FFFFFF"/>
        </w:rPr>
        <w:t>，</w:t>
      </w:r>
      <w:r>
        <w:rPr>
          <w:rFonts w:hint="eastAsia" w:ascii="Segoe UI" w:hAnsi="Segoe UI" w:cs="Segoe UI"/>
          <w:color w:val="0F1115"/>
          <w:shd w:val="clear" w:color="auto" w:fill="FFFFFF"/>
        </w:rPr>
        <w:t>营业毛利率的权重为</w:t>
      </w:r>
      <w:r>
        <w:rPr>
          <w:rFonts w:hint="eastAsia"/>
        </w:rPr>
        <w:t>6.39%</w:t>
      </w:r>
      <w:r>
        <w:rPr>
          <w:rFonts w:hint="eastAsia" w:ascii="Segoe UI" w:hAnsi="Segoe UI" w:cs="Segoe UI"/>
          <w:color w:val="0F1115"/>
          <w:shd w:val="clear" w:color="auto" w:fill="FFFFFF"/>
        </w:rPr>
        <w:t>，</w:t>
      </w:r>
      <w:r>
        <w:rPr>
          <w:rFonts w:ascii="Segoe UI" w:hAnsi="Segoe UI" w:cs="Segoe UI"/>
          <w:color w:val="0F1115"/>
          <w:shd w:val="clear" w:color="auto" w:fill="FFFFFF"/>
        </w:rPr>
        <w:t>净资产收益率</w:t>
      </w:r>
      <w:r>
        <w:rPr>
          <w:rFonts w:hint="eastAsia" w:ascii="Segoe UI" w:hAnsi="Segoe UI" w:cs="Segoe UI"/>
          <w:color w:val="0F1115"/>
          <w:shd w:val="clear" w:color="auto" w:fill="FFFFFF"/>
        </w:rPr>
        <w:t>的权重</w:t>
      </w:r>
      <w:r>
        <w:t>8.23%</w:t>
      </w:r>
      <w:r>
        <w:rPr>
          <w:rFonts w:hint="eastAsia"/>
        </w:rPr>
        <w:t>，净资产收益率</w:t>
      </w:r>
      <w:r>
        <w:rPr>
          <w:rFonts w:ascii="Segoe UI" w:hAnsi="Segoe UI" w:cs="Segoe UI"/>
          <w:color w:val="0F1115"/>
          <w:shd w:val="clear" w:color="auto" w:fill="FFFFFF"/>
        </w:rPr>
        <w:t>对盈利</w:t>
      </w:r>
      <w:r>
        <w:rPr>
          <w:rFonts w:hint="eastAsia" w:ascii="Segoe UI" w:hAnsi="Segoe UI" w:cs="Segoe UI"/>
          <w:color w:val="0F1115"/>
          <w:shd w:val="clear" w:color="auto" w:fill="FFFFFF"/>
        </w:rPr>
        <w:t>能力</w:t>
      </w:r>
      <w:r>
        <w:rPr>
          <w:rFonts w:ascii="Segoe UI" w:hAnsi="Segoe UI" w:cs="Segoe UI"/>
          <w:color w:val="0F1115"/>
          <w:shd w:val="clear" w:color="auto" w:fill="FFFFFF"/>
        </w:rPr>
        <w:t>的影响略高于营业毛利率。从</w:t>
      </w:r>
      <w:r>
        <w:rPr>
          <w:rFonts w:ascii="Segoe UI" w:hAnsi="Segoe UI" w:cs="Segoe UI"/>
          <w:color w:val="0F1115"/>
          <w:shd w:val="clear" w:color="auto" w:fill="FFFFFF"/>
        </w:rPr>
        <w:fldChar w:fldCharType="begin"/>
      </w:r>
      <w:r>
        <w:rPr>
          <w:rFonts w:ascii="Segoe UI" w:hAnsi="Segoe UI" w:cs="Segoe UI"/>
          <w:color w:val="0F1115"/>
          <w:shd w:val="clear" w:color="auto" w:fill="FFFFFF"/>
        </w:rPr>
        <w:instrText xml:space="preserve"> REF _Ref19761 \h </w:instrText>
      </w:r>
      <w:r>
        <w:rPr>
          <w:rFonts w:ascii="Segoe UI" w:hAnsi="Segoe UI" w:cs="Segoe UI"/>
          <w:color w:val="0F1115"/>
          <w:shd w:val="clear" w:color="auto" w:fill="FFFFFF"/>
        </w:rPr>
        <w:fldChar w:fldCharType="separate"/>
      </w:r>
      <w:r>
        <w:t>图3.13</w:t>
      </w:r>
      <w:r>
        <w:rPr>
          <w:rFonts w:ascii="Segoe UI" w:hAnsi="Segoe UI" w:cs="Segoe UI"/>
          <w:color w:val="0F1115"/>
          <w:shd w:val="clear" w:color="auto" w:fill="FFFFFF"/>
        </w:rPr>
        <w:fldChar w:fldCharType="end"/>
      </w:r>
      <w:r>
        <w:rPr>
          <w:rFonts w:hint="eastAsia"/>
        </w:rPr>
        <w:t>来</w:t>
      </w:r>
      <w:r>
        <w:rPr>
          <w:rFonts w:ascii="Segoe UI" w:hAnsi="Segoe UI" w:cs="Segoe UI"/>
          <w:color w:val="0F1115"/>
          <w:shd w:val="clear" w:color="auto" w:fill="FFFFFF"/>
        </w:rPr>
        <w:t>看，</w:t>
      </w:r>
      <w:r>
        <w:rPr>
          <w:rFonts w:hint="eastAsia"/>
        </w:rPr>
        <w:t>2020</w:t>
      </w:r>
      <w:r>
        <w:rPr>
          <w:rFonts w:hint="eastAsia" w:ascii="Segoe UI" w:hAnsi="Segoe UI" w:cs="Segoe UI"/>
          <w:color w:val="0F1115"/>
          <w:shd w:val="clear" w:color="auto" w:fill="FFFFFF"/>
        </w:rPr>
        <w:t>年川能动力的盈利能力得分较低，结合前文盈利能力分析，主要是因为公司通过股权融资持续加大风电项目的投入，资产规模扩大，</w:t>
      </w:r>
      <w:r>
        <w:rPr>
          <w:rFonts w:ascii="Segoe UI" w:hAnsi="Segoe UI" w:cs="Segoe UI"/>
          <w:color w:val="0F1115"/>
          <w:shd w:val="clear" w:color="auto" w:fill="FFFFFF"/>
        </w:rPr>
        <w:t>但新业务</w:t>
      </w:r>
      <w:r>
        <w:rPr>
          <w:rFonts w:hint="eastAsia" w:ascii="Segoe UI" w:hAnsi="Segoe UI" w:cs="Segoe UI"/>
          <w:color w:val="0F1115"/>
          <w:shd w:val="clear" w:color="auto" w:fill="FFFFFF"/>
        </w:rPr>
        <w:t>处于建设期，</w:t>
      </w:r>
      <w:r>
        <w:rPr>
          <w:rFonts w:ascii="Segoe UI" w:hAnsi="Segoe UI" w:cs="Segoe UI"/>
          <w:color w:val="0F1115"/>
          <w:shd w:val="clear" w:color="auto" w:fill="FFFFFF"/>
        </w:rPr>
        <w:t>回报</w:t>
      </w:r>
      <w:r>
        <w:rPr>
          <w:rFonts w:hint="eastAsia" w:ascii="Segoe UI" w:hAnsi="Segoe UI" w:cs="Segoe UI"/>
          <w:color w:val="0F1115"/>
          <w:shd w:val="clear" w:color="auto" w:fill="FFFFFF"/>
        </w:rPr>
        <w:t>能力</w:t>
      </w:r>
      <w:r>
        <w:rPr>
          <w:rFonts w:ascii="Segoe UI" w:hAnsi="Segoe UI" w:cs="Segoe UI"/>
          <w:color w:val="0F1115"/>
          <w:shd w:val="clear" w:color="auto" w:fill="FFFFFF"/>
        </w:rPr>
        <w:t>有限</w:t>
      </w:r>
      <w:r>
        <w:rPr>
          <w:rFonts w:hint="eastAsia" w:ascii="Segoe UI" w:hAnsi="Segoe UI" w:cs="Segoe UI"/>
          <w:color w:val="0F1115"/>
          <w:shd w:val="clear" w:color="auto" w:fill="FFFFFF"/>
        </w:rPr>
        <w:t>。</w:t>
      </w:r>
      <w:r>
        <w:rPr>
          <w:rFonts w:ascii="Segoe UI" w:hAnsi="Segoe UI" w:cs="Segoe UI"/>
          <w:color w:val="0F1115"/>
          <w:shd w:val="clear" w:color="auto" w:fill="FFFFFF"/>
        </w:rPr>
        <w:t>盈利能力得分</w:t>
      </w:r>
      <w:r>
        <w:rPr>
          <w:rFonts w:hint="eastAsia" w:ascii="Segoe UI" w:hAnsi="Segoe UI" w:cs="Segoe UI"/>
          <w:color w:val="0F1115"/>
          <w:shd w:val="clear" w:color="auto" w:fill="FFFFFF"/>
        </w:rPr>
        <w:t>在</w:t>
      </w:r>
      <w:r>
        <w:t>2022</w:t>
      </w:r>
      <w:r>
        <w:rPr>
          <w:rFonts w:ascii="Segoe UI" w:hAnsi="Segoe UI" w:cs="Segoe UI"/>
          <w:color w:val="0F1115"/>
          <w:shd w:val="clear" w:color="auto" w:fill="FFFFFF"/>
        </w:rPr>
        <w:t>年为最高点，</w:t>
      </w:r>
      <w:r>
        <w:rPr>
          <w:rFonts w:hint="eastAsia" w:ascii="Segoe UI" w:hAnsi="Segoe UI" w:cs="Segoe UI"/>
          <w:color w:val="0F1115"/>
          <w:shd w:val="clear" w:color="auto" w:fill="FFFFFF"/>
        </w:rPr>
        <w:t>主要是由于</w:t>
      </w:r>
      <w:r>
        <w:rPr>
          <w:rFonts w:ascii="Segoe UI" w:hAnsi="Segoe UI" w:cs="Segoe UI"/>
          <w:color w:val="0F1115"/>
          <w:shd w:val="clear" w:color="auto" w:fill="FFFFFF"/>
        </w:rPr>
        <w:t>锂电行业处于</w:t>
      </w:r>
      <w:r>
        <w:rPr>
          <w:rFonts w:hint="eastAsia" w:ascii="Segoe UI" w:hAnsi="Segoe UI" w:cs="Segoe UI"/>
          <w:color w:val="0F1115"/>
          <w:shd w:val="clear" w:color="auto" w:fill="FFFFFF"/>
        </w:rPr>
        <w:t>快速增长的阶段</w:t>
      </w:r>
      <w:r>
        <w:rPr>
          <w:rFonts w:ascii="Segoe UI" w:hAnsi="Segoe UI" w:cs="Segoe UI"/>
          <w:color w:val="0F1115"/>
          <w:shd w:val="clear" w:color="auto" w:fill="FFFFFF"/>
        </w:rPr>
        <w:t>，锂电业务和风电</w:t>
      </w:r>
      <w:r>
        <w:rPr>
          <w:rFonts w:hint="eastAsia" w:ascii="Segoe UI" w:hAnsi="Segoe UI" w:cs="Segoe UI"/>
          <w:color w:val="0F1115"/>
          <w:shd w:val="clear" w:color="auto" w:fill="FFFFFF"/>
        </w:rPr>
        <w:t>，</w:t>
      </w:r>
      <w:r>
        <w:rPr>
          <w:rFonts w:ascii="Segoe UI" w:hAnsi="Segoe UI" w:cs="Segoe UI"/>
          <w:color w:val="0F1115"/>
          <w:shd w:val="clear" w:color="auto" w:fill="FFFFFF"/>
        </w:rPr>
        <w:t>光伏业务的毛利率均处于较高水平。</w:t>
      </w:r>
      <w:r>
        <w:t>2023</w:t>
      </w:r>
      <w:r>
        <w:rPr>
          <w:rFonts w:hint="eastAsia"/>
        </w:rPr>
        <w:t>-2025</w:t>
      </w:r>
      <w:r>
        <w:rPr>
          <w:rFonts w:ascii="Segoe UI" w:hAnsi="Segoe UI" w:cs="Segoe UI"/>
          <w:color w:val="0F1115"/>
          <w:shd w:val="clear" w:color="auto" w:fill="FFFFFF"/>
        </w:rPr>
        <w:t>年得分回落，</w:t>
      </w:r>
      <w:r>
        <w:rPr>
          <w:rFonts w:hint="eastAsia" w:ascii="Segoe UI" w:hAnsi="Segoe UI" w:cs="Segoe UI"/>
          <w:color w:val="0F1115"/>
          <w:shd w:val="clear" w:color="auto" w:fill="FFFFFF"/>
        </w:rPr>
        <w:t>是因为</w:t>
      </w:r>
      <w:r>
        <w:rPr>
          <w:rFonts w:ascii="Segoe UI" w:hAnsi="Segoe UI" w:cs="Segoe UI"/>
          <w:color w:val="0F1115"/>
          <w:shd w:val="clear" w:color="auto" w:fill="FFFFFF"/>
        </w:rPr>
        <w:t>受锂价下行影响，锂电业务毛利率大幅下降，盈利能力得分下滑</w:t>
      </w:r>
      <w:r>
        <w:rPr>
          <w:rFonts w:hint="eastAsia" w:ascii="Segoe UI" w:hAnsi="Segoe UI" w:cs="Segoe UI"/>
          <w:color w:val="0F1115"/>
          <w:shd w:val="clear" w:color="auto" w:fill="FFFFFF"/>
        </w:rPr>
        <w:t>。</w:t>
      </w:r>
    </w:p>
    <w:bookmarkEnd w:id="274"/>
    <w:p w14:paraId="7B88389C">
      <w:pPr>
        <w:ind w:firstLine="480"/>
      </w:pPr>
      <w:r>
        <w:t>（5）</w:t>
      </w:r>
      <w:r>
        <w:rPr>
          <w:rFonts w:hint="eastAsia"/>
        </w:rPr>
        <w:t>发展能力评价结果分析</w:t>
      </w:r>
    </w:p>
    <w:p w14:paraId="33F0C05E">
      <w:pPr>
        <w:keepNext/>
        <w:ind w:firstLine="0" w:firstLineChars="0"/>
      </w:pPr>
      <w:r>
        <w:rPr>
          <w:rFonts w:hint="eastAsia"/>
        </w:rPr>
        <w:drawing>
          <wp:inline distT="0" distB="0" distL="114300" distR="114300">
            <wp:extent cx="5259070" cy="1925955"/>
            <wp:effectExtent l="0" t="0" r="17780" b="17145"/>
            <wp:docPr id="1" name="图表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610AE31">
      <w:pPr>
        <w:ind w:firstLine="0" w:firstLineChars="0"/>
      </w:pPr>
      <w:bookmarkStart w:id="275" w:name="OLE_LINK170"/>
      <w:r>
        <w:rPr>
          <w:rFonts w:hint="eastAsia"/>
          <w:sz w:val="21"/>
          <w:szCs w:val="18"/>
        </w:rPr>
        <w:t>数据来源：二级指标数据汇总整理。</w:t>
      </w:r>
      <w:bookmarkEnd w:id="275"/>
    </w:p>
    <w:p w14:paraId="38F751B0">
      <w:pPr>
        <w:pStyle w:val="6"/>
        <w:keepNext/>
        <w:spacing w:before="156" w:after="156"/>
        <w:ind w:firstLine="0" w:firstLineChars="0"/>
      </w:pPr>
      <w:bookmarkStart w:id="276" w:name="_Ref20639"/>
      <w:r>
        <w:t>图3.</w:t>
      </w:r>
      <w:r>
        <w:fldChar w:fldCharType="begin"/>
      </w:r>
      <w:r>
        <w:instrText xml:space="preserve"> SEQ 图3. \* ARABIC </w:instrText>
      </w:r>
      <w:r>
        <w:fldChar w:fldCharType="separate"/>
      </w:r>
      <w:r>
        <w:t>14</w:t>
      </w:r>
      <w:r>
        <w:fldChar w:fldCharType="end"/>
      </w:r>
      <w:bookmarkEnd w:id="276"/>
      <w:r>
        <w:rPr>
          <w:rFonts w:hint="eastAsia"/>
        </w:rPr>
        <w:t xml:space="preserve">  川能动力2017-2025发展能力综合得分</w:t>
      </w:r>
    </w:p>
    <w:p w14:paraId="03059626">
      <w:pPr>
        <w:ind w:firstLine="480"/>
        <w:rPr>
          <w:rFonts w:ascii="Segoe UI" w:hAnsi="Segoe UI" w:cs="Segoe UI"/>
          <w:color w:val="0F1115"/>
          <w:shd w:val="clear" w:color="auto" w:fill="FFFFFF"/>
        </w:rPr>
      </w:pPr>
      <w:bookmarkStart w:id="277" w:name="OLE_LINK14"/>
      <w:bookmarkEnd w:id="277"/>
      <w:bookmarkStart w:id="278" w:name="OLE_LINK112"/>
      <w:bookmarkEnd w:id="278"/>
      <w:bookmarkStart w:id="279" w:name="OLE_LINK12"/>
      <w:bookmarkEnd w:id="279"/>
      <w:r>
        <w:rPr>
          <w:rFonts w:hint="eastAsia"/>
        </w:rPr>
        <w:t>由</w:t>
      </w:r>
      <w:r>
        <w:rPr>
          <w:rFonts w:hint="eastAsia"/>
        </w:rPr>
        <w:fldChar w:fldCharType="begin"/>
      </w:r>
      <w:r>
        <w:rPr>
          <w:rFonts w:hint="eastAsia"/>
        </w:rPr>
        <w:instrText xml:space="preserve"> REF _Ref15920 \h </w:instrText>
      </w:r>
      <w:r>
        <w:rPr>
          <w:rFonts w:hint="eastAsia"/>
        </w:rPr>
        <w:fldChar w:fldCharType="separate"/>
      </w:r>
      <w:r>
        <w:t>表3.2</w:t>
      </w:r>
      <w:r>
        <w:rPr>
          <w:rFonts w:hint="eastAsia"/>
        </w:rPr>
        <w:fldChar w:fldCharType="end"/>
      </w:r>
      <w:r>
        <w:rPr>
          <w:rFonts w:hint="eastAsia"/>
        </w:rPr>
        <w:t>可知，</w:t>
      </w:r>
      <w:r>
        <w:t>发展能力</w:t>
      </w:r>
      <w:r>
        <w:rPr>
          <w:rFonts w:hint="eastAsia"/>
        </w:rPr>
        <w:t>的</w:t>
      </w:r>
      <w:r>
        <w:t>权重为27.51%，营业收入增长率</w:t>
      </w:r>
      <w:r>
        <w:rPr>
          <w:rFonts w:hint="eastAsia"/>
        </w:rPr>
        <w:t>的权重为</w:t>
      </w:r>
      <w:r>
        <w:t>14.41%</w:t>
      </w:r>
      <w:r>
        <w:rPr>
          <w:rFonts w:hint="eastAsia"/>
        </w:rPr>
        <w:t>，</w:t>
      </w:r>
      <w:r>
        <w:t>所有者权益增长率</w:t>
      </w:r>
      <w:r>
        <w:rPr>
          <w:rFonts w:hint="eastAsia"/>
        </w:rPr>
        <w:t>的权重为</w:t>
      </w:r>
      <w:r>
        <w:t>13.10%。从</w:t>
      </w:r>
      <w:r>
        <w:fldChar w:fldCharType="begin"/>
      </w:r>
      <w:r>
        <w:instrText xml:space="preserve"> REF _Ref20639 \h </w:instrText>
      </w:r>
      <w:r>
        <w:fldChar w:fldCharType="separate"/>
      </w:r>
      <w:r>
        <w:t>图3.14</w:t>
      </w:r>
      <w:r>
        <w:fldChar w:fldCharType="end"/>
      </w:r>
      <w:r>
        <w:rPr>
          <w:rFonts w:hint="eastAsia"/>
        </w:rPr>
        <w:t>来</w:t>
      </w:r>
      <w:r>
        <w:t>看，</w:t>
      </w:r>
      <w:r>
        <w:rPr>
          <w:rFonts w:hint="eastAsia"/>
        </w:rPr>
        <w:t>2018年是川能动力绿色转型后发展能力得分的最低点，结合前文发展能力分析可知，主要是因为公司为了加强风险管控，减少贸易业务规模，营业收入增长率降低所导致。</w:t>
      </w:r>
      <w:r>
        <w:t>发展能力得分在2021年为最高点</w:t>
      </w:r>
      <w:r>
        <w:rPr>
          <w:rFonts w:hint="eastAsia"/>
        </w:rPr>
        <w:t>，</w:t>
      </w:r>
      <w:r>
        <w:t>主要</w:t>
      </w:r>
      <w:r>
        <w:rPr>
          <w:rFonts w:hint="eastAsia"/>
        </w:rPr>
        <w:t>是因为川能动力</w:t>
      </w:r>
      <w:r>
        <w:t>完成对能投锂业和川能环保的收购</w:t>
      </w:r>
      <w:r>
        <w:rPr>
          <w:rFonts w:hint="eastAsia"/>
        </w:rPr>
        <w:t>，</w:t>
      </w:r>
      <w:r>
        <w:rPr>
          <w:rFonts w:ascii="Segoe UI" w:hAnsi="Segoe UI" w:cs="Segoe UI"/>
          <w:color w:val="0F1115"/>
          <w:shd w:val="clear" w:color="auto" w:fill="FFFFFF"/>
        </w:rPr>
        <w:t>所有者权益</w:t>
      </w:r>
      <w:r>
        <w:rPr>
          <w:rFonts w:hint="eastAsia" w:ascii="Segoe UI" w:hAnsi="Segoe UI" w:cs="Segoe UI"/>
          <w:color w:val="0F1115"/>
          <w:shd w:val="clear" w:color="auto" w:fill="FFFFFF"/>
        </w:rPr>
        <w:t>大幅度上涨。</w:t>
      </w:r>
    </w:p>
    <w:p w14:paraId="085DCEAE">
      <w:pPr>
        <w:pStyle w:val="2"/>
        <w:spacing w:before="312" w:after="312"/>
        <w:rPr>
          <w:shd w:val="clear" w:color="auto" w:fill="FFFFFF"/>
        </w:rPr>
      </w:pPr>
      <w:bookmarkStart w:id="280" w:name="_Toc399"/>
      <w:r>
        <w:rPr>
          <w:shd w:val="clear" w:color="auto" w:fill="FFFFFF"/>
        </w:rPr>
        <w:t>4</w:t>
      </w:r>
      <w:r>
        <w:rPr>
          <w:rFonts w:hint="eastAsia" w:ascii="Segoe UI" w:hAnsi="Segoe UI"/>
          <w:shd w:val="clear" w:color="auto" w:fill="FFFFFF"/>
        </w:rPr>
        <w:t xml:space="preserve">  </w:t>
      </w:r>
      <w:r>
        <w:rPr>
          <w:rFonts w:hint="eastAsia"/>
          <w:shd w:val="clear" w:color="auto" w:fill="FFFFFF"/>
        </w:rPr>
        <w:t>川能动力绿色转型存在的问题及建议</w:t>
      </w:r>
      <w:bookmarkEnd w:id="280"/>
      <w:bookmarkStart w:id="281" w:name="OLE_LINK18"/>
    </w:p>
    <w:p w14:paraId="11CE9666">
      <w:pPr>
        <w:pStyle w:val="3"/>
        <w:spacing w:before="312" w:after="156"/>
        <w:rPr>
          <w:rFonts w:hint="default"/>
        </w:rPr>
      </w:pPr>
      <w:bookmarkStart w:id="282" w:name="_Toc22782"/>
      <w:r>
        <w:rPr>
          <w:rFonts w:eastAsia="黑体"/>
          <w:color w:val="0F1115"/>
          <w:shd w:val="clear" w:color="auto" w:fill="FFFFFF"/>
        </w:rPr>
        <w:t>4.1</w:t>
      </w:r>
      <w:r>
        <w:t xml:space="preserve">  存在的问题</w:t>
      </w:r>
      <w:bookmarkEnd w:id="281"/>
      <w:bookmarkEnd w:id="282"/>
    </w:p>
    <w:p w14:paraId="3D6C7F78">
      <w:pPr>
        <w:pStyle w:val="4"/>
        <w:spacing w:before="156" w:after="156"/>
      </w:pPr>
      <w:bookmarkStart w:id="283" w:name="OLE_LINK154"/>
      <w:bookmarkStart w:id="284" w:name="_Toc14922"/>
      <w:r>
        <w:rPr>
          <w:rFonts w:hint="eastAsia"/>
        </w:rPr>
        <w:t>4.1.1  应收账款回收</w:t>
      </w:r>
      <w:bookmarkEnd w:id="283"/>
      <w:r>
        <w:rPr>
          <w:rFonts w:hint="eastAsia"/>
        </w:rPr>
        <w:t>缓慢</w:t>
      </w:r>
      <w:bookmarkEnd w:id="284"/>
    </w:p>
    <w:p w14:paraId="0662E092">
      <w:pPr>
        <w:ind w:firstLine="480"/>
        <w:rPr>
          <w:rFonts w:hint="eastAsia" w:ascii="宋体" w:hAnsi="宋体"/>
        </w:rPr>
      </w:pPr>
      <w:bookmarkStart w:id="285" w:name="OLE_LINK157"/>
      <w:bookmarkStart w:id="286" w:name="OLE_LINK153"/>
      <w:r>
        <w:rPr>
          <w:rFonts w:ascii="宋体" w:hAnsi="宋体"/>
        </w:rPr>
        <w:t>根据前文营运能力分析，川</w:t>
      </w:r>
      <w:bookmarkStart w:id="287" w:name="OLE_LINK260"/>
      <w:r>
        <w:rPr>
          <w:rFonts w:ascii="宋体" w:hAnsi="宋体"/>
        </w:rPr>
        <w:t>能动力应收账款周转率一直处于行业平均水平之下。在推行绿色转型战略之后，由于新能源综合服务、环卫运营和生活垃圾焚烧发电等业务包含众多的项目验收、结算和审核工作，因而</w:t>
      </w:r>
      <w:bookmarkStart w:id="288" w:name="OLE_LINK261"/>
      <w:r>
        <w:rPr>
          <w:rFonts w:ascii="宋体" w:hAnsi="宋体"/>
        </w:rPr>
        <w:t>使得账款回收时间拉长。客户还款意愿和偿还能力有波动，造成大额逾期应收款项不能及时收回</w:t>
      </w:r>
      <w:bookmarkEnd w:id="287"/>
      <w:r>
        <w:rPr>
          <w:rFonts w:ascii="宋体" w:hAnsi="宋体"/>
        </w:rPr>
        <w:t>，加大了企业资金的流动性压力。根据</w:t>
      </w:r>
      <w:r>
        <w:rPr>
          <w:rFonts w:hint="eastAsia" w:ascii="宋体" w:hAnsi="宋体"/>
        </w:rPr>
        <w:t>川能动力</w:t>
      </w:r>
      <w:r>
        <w:rPr>
          <w:rFonts w:ascii="宋体" w:hAnsi="宋体"/>
        </w:rPr>
        <w:t>年报，</w:t>
      </w:r>
      <w:r>
        <w:t>2025</w:t>
      </w:r>
      <w:r>
        <w:rPr>
          <w:rFonts w:ascii="宋体" w:hAnsi="宋体"/>
        </w:rPr>
        <w:t>年末一年以上</w:t>
      </w:r>
      <w:r>
        <w:rPr>
          <w:rFonts w:hint="eastAsia" w:ascii="宋体" w:hAnsi="宋体"/>
        </w:rPr>
        <w:t>应收</w:t>
      </w:r>
      <w:bookmarkEnd w:id="288"/>
      <w:r>
        <w:rPr>
          <w:rFonts w:hint="eastAsia" w:ascii="宋体" w:hAnsi="宋体"/>
        </w:rPr>
        <w:t>账款</w:t>
      </w:r>
      <w:r>
        <w:rPr>
          <w:rFonts w:ascii="宋体" w:hAnsi="宋体"/>
        </w:rPr>
        <w:t>账龄占比超过</w:t>
      </w:r>
      <w:r>
        <w:t>56%</w:t>
      </w:r>
      <w:r>
        <w:rPr>
          <w:rFonts w:ascii="宋体" w:hAnsi="宋体"/>
        </w:rPr>
        <w:t>，</w:t>
      </w:r>
      <w:bookmarkStart w:id="289" w:name="OLE_LINK150"/>
      <w:r>
        <w:rPr>
          <w:rFonts w:ascii="宋体" w:hAnsi="宋体"/>
        </w:rPr>
        <w:t>资金回笼速度缓慢。</w:t>
      </w:r>
    </w:p>
    <w:bookmarkEnd w:id="285"/>
    <w:bookmarkEnd w:id="289"/>
    <w:p w14:paraId="1A4E053A">
      <w:pPr>
        <w:pStyle w:val="4"/>
        <w:spacing w:before="156" w:after="156"/>
      </w:pPr>
      <w:bookmarkStart w:id="290" w:name="_Toc19657"/>
      <w:r>
        <w:t>4.2.2  总资产周转率偏低</w:t>
      </w:r>
      <w:bookmarkEnd w:id="290"/>
      <w:bookmarkStart w:id="291" w:name="OLE_LINK156"/>
    </w:p>
    <w:bookmarkEnd w:id="291"/>
    <w:p w14:paraId="3E2B40C9">
      <w:pPr>
        <w:ind w:firstLine="480"/>
        <w:rPr>
          <w:rFonts w:ascii="Segoe UI" w:hAnsi="Segoe UI" w:cs="Segoe UI"/>
          <w:color w:val="0F1115"/>
          <w:shd w:val="clear" w:color="auto" w:fill="FFFFFF"/>
        </w:rPr>
      </w:pPr>
      <w:bookmarkStart w:id="292" w:name="OLE_LINK158"/>
      <w:bookmarkStart w:id="293" w:name="OLE_LINK155"/>
      <w:r>
        <w:rPr>
          <w:rFonts w:ascii="宋体" w:hAnsi="宋体"/>
        </w:rPr>
        <w:t>根据前文营运能力分析，川能动力总资产周转率自</w:t>
      </w:r>
      <w:r>
        <w:t>2019</w:t>
      </w:r>
      <w:r>
        <w:rPr>
          <w:rFonts w:ascii="宋体" w:hAnsi="宋体"/>
        </w:rPr>
        <w:t>年以来持续低于行业平均水平</w:t>
      </w:r>
      <w:r>
        <w:rPr>
          <w:rFonts w:hint="eastAsia" w:ascii="宋体" w:hAnsi="宋体"/>
        </w:rPr>
        <w:t>，这是因为</w:t>
      </w:r>
      <w:r>
        <w:rPr>
          <w:rFonts w:ascii="宋体" w:hAnsi="宋体"/>
        </w:rPr>
        <w:t>公司绿色转型后大量资金投入风电、光伏、垃圾发电和锂矿采选等重资产项目，</w:t>
      </w:r>
      <w:bookmarkStart w:id="294" w:name="OLE_LINK262"/>
      <w:r>
        <w:rPr>
          <w:rFonts w:hint="eastAsia" w:ascii="宋体" w:hAnsi="宋体"/>
        </w:rPr>
        <w:t>资产规模大幅度扩张而营业收入却有所下降</w:t>
      </w:r>
      <w:bookmarkEnd w:id="294"/>
      <w:r>
        <w:rPr>
          <w:rFonts w:ascii="宋体" w:hAnsi="宋体"/>
        </w:rPr>
        <w:t>。重资产项目建设周期较长，原</w:t>
      </w:r>
      <w:bookmarkStart w:id="295" w:name="OLE_LINK10"/>
      <w:r>
        <w:rPr>
          <w:rFonts w:ascii="宋体" w:hAnsi="宋体"/>
        </w:rPr>
        <w:t>有贸易</w:t>
      </w:r>
      <w:bookmarkStart w:id="296" w:name="OLE_LINK58"/>
      <w:r>
        <w:rPr>
          <w:rFonts w:ascii="宋体" w:hAnsi="宋体"/>
        </w:rPr>
        <w:t>业务终止后新业务</w:t>
      </w:r>
      <w:r>
        <w:rPr>
          <w:rFonts w:hint="eastAsia" w:ascii="宋体" w:hAnsi="宋体"/>
        </w:rPr>
        <w:t>还处于</w:t>
      </w:r>
      <w:r>
        <w:rPr>
          <w:rFonts w:ascii="宋体" w:hAnsi="宋体"/>
        </w:rPr>
        <w:t>产能</w:t>
      </w:r>
      <w:bookmarkEnd w:id="296"/>
      <w:r>
        <w:rPr>
          <w:rFonts w:ascii="宋体" w:hAnsi="宋体"/>
        </w:rPr>
        <w:t>释放初期，导致</w:t>
      </w:r>
      <w:r>
        <w:rPr>
          <w:rFonts w:hint="eastAsia" w:ascii="宋体" w:hAnsi="宋体"/>
        </w:rPr>
        <w:t>总资产周转率持续降低</w:t>
      </w:r>
      <w:r>
        <w:rPr>
          <w:rFonts w:ascii="宋体" w:hAnsi="宋体"/>
        </w:rPr>
        <w:t>。</w:t>
      </w:r>
      <w:r>
        <w:rPr>
          <w:rFonts w:ascii="Segoe UI" w:hAnsi="Segoe UI" w:cs="Segoe UI"/>
          <w:color w:val="0F1115"/>
          <w:shd w:val="clear" w:color="auto" w:fill="FFFFFF"/>
        </w:rPr>
        <w:t>总资产周转率长期偏低，意味着</w:t>
      </w:r>
      <w:bookmarkEnd w:id="295"/>
      <w:r>
        <w:rPr>
          <w:rFonts w:ascii="Segoe UI" w:hAnsi="Segoe UI" w:cs="Segoe UI"/>
          <w:color w:val="0F1115"/>
          <w:shd w:val="clear" w:color="auto" w:fill="FFFFFF"/>
        </w:rPr>
        <w:t>公司投入的大量资本难以快速转化为经营收入，在一定程度上</w:t>
      </w:r>
      <w:r>
        <w:rPr>
          <w:rFonts w:hint="eastAsia" w:ascii="Segoe UI" w:hAnsi="Segoe UI" w:cs="Segoe UI"/>
          <w:color w:val="0F1115"/>
          <w:shd w:val="clear" w:color="auto" w:fill="FFFFFF"/>
        </w:rPr>
        <w:t>会</w:t>
      </w:r>
      <w:r>
        <w:rPr>
          <w:rFonts w:ascii="Segoe UI" w:hAnsi="Segoe UI" w:cs="Segoe UI"/>
          <w:color w:val="0F1115"/>
          <w:shd w:val="clear" w:color="auto" w:fill="FFFFFF"/>
        </w:rPr>
        <w:t>制约了整体盈利能力的提升。</w:t>
      </w:r>
    </w:p>
    <w:p w14:paraId="1C613A23">
      <w:pPr>
        <w:pStyle w:val="4"/>
        <w:spacing w:before="156" w:after="156"/>
        <w:rPr>
          <w:shd w:val="clear" w:color="auto" w:fill="FFFFFF"/>
        </w:rPr>
      </w:pPr>
      <w:bookmarkStart w:id="297" w:name="_Toc27283"/>
      <w:r>
        <w:rPr>
          <w:shd w:val="clear" w:color="auto" w:fill="FFFFFF"/>
        </w:rPr>
        <w:t xml:space="preserve">4.2.3  </w:t>
      </w:r>
      <w:r>
        <w:rPr>
          <w:rFonts w:hint="eastAsia"/>
          <w:shd w:val="clear" w:color="auto" w:fill="FFFFFF"/>
        </w:rPr>
        <w:t>业务结构单一</w:t>
      </w:r>
      <w:bookmarkEnd w:id="297"/>
    </w:p>
    <w:p w14:paraId="58FFFF65">
      <w:pPr>
        <w:ind w:firstLine="480"/>
        <w:rPr>
          <w:rFonts w:ascii="Segoe UI" w:hAnsi="Segoe UI" w:cs="Segoe UI"/>
          <w:color w:val="0F1115"/>
          <w:shd w:val="clear" w:color="auto" w:fill="FFFFFF"/>
        </w:rPr>
      </w:pPr>
      <w:bookmarkStart w:id="298" w:name="OLE_LINK160"/>
      <w:bookmarkEnd w:id="298"/>
      <w:bookmarkStart w:id="299" w:name="OLE_LINK161"/>
      <w:r>
        <w:rPr>
          <w:rFonts w:ascii="Segoe UI" w:hAnsi="Segoe UI" w:cs="Segoe UI"/>
          <w:color w:val="0F1115"/>
          <w:shd w:val="clear" w:color="auto" w:fill="FFFFFF"/>
        </w:rPr>
        <w:t>根据</w:t>
      </w:r>
      <w:r>
        <w:rPr>
          <w:rFonts w:hint="eastAsia" w:ascii="Segoe UI" w:hAnsi="Segoe UI" w:cs="Segoe UI"/>
          <w:color w:val="0F1115"/>
          <w:shd w:val="clear" w:color="auto" w:fill="FFFFFF"/>
        </w:rPr>
        <w:t>前文</w:t>
      </w:r>
      <w:r>
        <w:rPr>
          <w:rFonts w:ascii="Segoe UI" w:hAnsi="Segoe UI" w:cs="Segoe UI"/>
          <w:color w:val="0F1115"/>
          <w:shd w:val="clear" w:color="auto" w:fill="FFFFFF"/>
        </w:rPr>
        <w:t>发展能力分析，</w:t>
      </w:r>
      <w:r>
        <w:rPr>
          <w:color w:val="0F1115"/>
          <w:shd w:val="clear" w:color="auto" w:fill="FFFFFF"/>
        </w:rPr>
        <w:t>2022-2024</w:t>
      </w:r>
      <w:r>
        <w:rPr>
          <w:rFonts w:ascii="Segoe UI" w:hAnsi="Segoe UI" w:cs="Segoe UI"/>
          <w:color w:val="0F1115"/>
          <w:shd w:val="clear" w:color="auto" w:fill="FFFFFF"/>
        </w:rPr>
        <w:t>年川能动力营业收入呈下滑趋势，</w:t>
      </w:r>
      <w:r>
        <w:rPr>
          <w:color w:val="0F1115"/>
          <w:shd w:val="clear" w:color="auto" w:fill="FFFFFF"/>
        </w:rPr>
        <w:t>2025</w:t>
      </w:r>
      <w:r>
        <w:rPr>
          <w:rFonts w:ascii="Segoe UI" w:hAnsi="Segoe UI" w:cs="Segoe UI"/>
          <w:color w:val="0F1115"/>
          <w:shd w:val="clear" w:color="auto" w:fill="FFFFFF"/>
        </w:rPr>
        <w:t>年</w:t>
      </w:r>
      <w:r>
        <w:rPr>
          <w:rFonts w:hint="eastAsia" w:ascii="Segoe UI" w:hAnsi="Segoe UI" w:cs="Segoe UI"/>
          <w:color w:val="0F1115"/>
          <w:shd w:val="clear" w:color="auto" w:fill="FFFFFF"/>
        </w:rPr>
        <w:t>虽</w:t>
      </w:r>
      <w:r>
        <w:rPr>
          <w:rFonts w:ascii="Segoe UI" w:hAnsi="Segoe UI" w:cs="Segoe UI"/>
          <w:color w:val="0F1115"/>
          <w:shd w:val="clear" w:color="auto" w:fill="FFFFFF"/>
        </w:rPr>
        <w:t>有上升但是依赖锂电业务产能的释放。</w:t>
      </w:r>
      <w:r>
        <w:rPr>
          <w:rFonts w:hint="eastAsia" w:ascii="Segoe UI" w:hAnsi="Segoe UI" w:cs="Segoe UI"/>
          <w:color w:val="0F1115"/>
          <w:shd w:val="clear" w:color="auto" w:fill="FFFFFF"/>
        </w:rPr>
        <w:t>绿色转型后公司</w:t>
      </w:r>
      <w:r>
        <w:rPr>
          <w:rFonts w:ascii="Segoe UI" w:hAnsi="Segoe UI" w:cs="Segoe UI"/>
          <w:color w:val="0F1115"/>
          <w:shd w:val="clear" w:color="auto" w:fill="FFFFFF"/>
        </w:rPr>
        <w:t>完成了对能投锂业和鼎盛锂业的并购，锂电业务就渐渐成为了公司主营业</w:t>
      </w:r>
      <w:bookmarkStart w:id="300" w:name="OLE_LINK264"/>
      <w:r>
        <w:rPr>
          <w:rFonts w:ascii="Segoe UI" w:hAnsi="Segoe UI" w:cs="Segoe UI"/>
          <w:color w:val="0F1115"/>
          <w:shd w:val="clear" w:color="auto" w:fill="FFFFFF"/>
        </w:rPr>
        <w:t>务的支柱。由于该业</w:t>
      </w:r>
      <w:bookmarkEnd w:id="300"/>
      <w:r>
        <w:rPr>
          <w:rFonts w:ascii="Segoe UI" w:hAnsi="Segoe UI" w:cs="Segoe UI"/>
          <w:color w:val="0F1115"/>
          <w:shd w:val="clear" w:color="auto" w:fill="FFFFFF"/>
        </w:rPr>
        <w:t>务易受碳酸锂价格波动的影响，使得企业取得的销售收入存在周期性的变化，</w:t>
      </w:r>
      <w:r>
        <w:rPr>
          <w:rFonts w:hint="eastAsia" w:ascii="Segoe UI" w:hAnsi="Segoe UI" w:cs="Segoe UI"/>
          <w:color w:val="0F1115"/>
          <w:shd w:val="clear" w:color="auto" w:fill="FFFFFF"/>
        </w:rPr>
        <w:t>即</w:t>
      </w:r>
      <w:r>
        <w:rPr>
          <w:color w:val="0F1115"/>
          <w:shd w:val="clear" w:color="auto" w:fill="FFFFFF"/>
        </w:rPr>
        <w:t>2023</w:t>
      </w:r>
      <w:r>
        <w:rPr>
          <w:rFonts w:ascii="Segoe UI" w:hAnsi="Segoe UI" w:cs="Segoe UI"/>
          <w:color w:val="0F1115"/>
          <w:shd w:val="clear" w:color="auto" w:fill="FFFFFF"/>
        </w:rPr>
        <w:t>年之后，由于</w:t>
      </w:r>
      <w:r>
        <w:rPr>
          <w:rFonts w:hint="eastAsia" w:ascii="Segoe UI" w:hAnsi="Segoe UI" w:cs="Segoe UI"/>
          <w:color w:val="0F1115"/>
          <w:shd w:val="clear" w:color="auto" w:fill="FFFFFF"/>
        </w:rPr>
        <w:t>锂</w:t>
      </w:r>
      <w:r>
        <w:rPr>
          <w:rFonts w:ascii="Segoe UI" w:hAnsi="Segoe UI" w:cs="Segoe UI"/>
          <w:color w:val="0F1115"/>
          <w:shd w:val="clear" w:color="auto" w:fill="FFFFFF"/>
        </w:rPr>
        <w:t>价大幅度下跌造成营业收入出现减少。目</w:t>
      </w:r>
      <w:bookmarkStart w:id="301" w:name="OLE_LINK265"/>
      <w:bookmarkStart w:id="302" w:name="OLE_LINK263"/>
      <w:r>
        <w:rPr>
          <w:rFonts w:ascii="Segoe UI" w:hAnsi="Segoe UI" w:cs="Segoe UI"/>
          <w:color w:val="0F1115"/>
          <w:shd w:val="clear" w:color="auto" w:fill="FFFFFF"/>
        </w:rPr>
        <w:t>前</w:t>
      </w:r>
      <w:r>
        <w:rPr>
          <w:rFonts w:hint="eastAsia" w:ascii="Segoe UI" w:hAnsi="Segoe UI" w:cs="Segoe UI"/>
          <w:color w:val="0F1115"/>
          <w:shd w:val="clear" w:color="auto" w:fill="FFFFFF"/>
        </w:rPr>
        <w:t>川能动力</w:t>
      </w:r>
      <w:r>
        <w:rPr>
          <w:rFonts w:ascii="Segoe UI" w:hAnsi="Segoe UI" w:cs="Segoe UI"/>
          <w:color w:val="0F1115"/>
          <w:shd w:val="clear" w:color="auto" w:fill="FFFFFF"/>
        </w:rPr>
        <w:t>收入结构主要是锂电和风力发电两个大的业务领域，整</w:t>
      </w:r>
      <w:bookmarkStart w:id="303" w:name="OLE_LINK266"/>
      <w:r>
        <w:rPr>
          <w:rFonts w:ascii="Segoe UI" w:hAnsi="Segoe UI" w:cs="Segoe UI"/>
          <w:color w:val="0F1115"/>
          <w:shd w:val="clear" w:color="auto" w:fill="FFFFFF"/>
        </w:rPr>
        <w:t>体业务结构较为单一</w:t>
      </w:r>
      <w:r>
        <w:rPr>
          <w:rFonts w:hint="eastAsia" w:ascii="Segoe UI" w:hAnsi="Segoe UI" w:cs="Segoe UI"/>
          <w:color w:val="0F1115"/>
          <w:shd w:val="clear" w:color="auto" w:fill="FFFFFF"/>
        </w:rPr>
        <w:t>，</w:t>
      </w:r>
      <w:r>
        <w:rPr>
          <w:rFonts w:ascii="Segoe UI" w:hAnsi="Segoe UI" w:cs="Segoe UI"/>
          <w:color w:val="0F1115"/>
          <w:shd w:val="clear" w:color="auto" w:fill="FFFFFF"/>
        </w:rPr>
        <w:t>从而可能会</w:t>
      </w:r>
      <w:bookmarkEnd w:id="301"/>
      <w:r>
        <w:rPr>
          <w:rFonts w:ascii="Segoe UI" w:hAnsi="Segoe UI" w:cs="Segoe UI"/>
          <w:color w:val="0F1115"/>
          <w:shd w:val="clear" w:color="auto" w:fill="FFFFFF"/>
        </w:rPr>
        <w:t>对公司</w:t>
      </w:r>
      <w:bookmarkEnd w:id="302"/>
      <w:r>
        <w:rPr>
          <w:rFonts w:ascii="Segoe UI" w:hAnsi="Segoe UI" w:cs="Segoe UI"/>
          <w:color w:val="0F1115"/>
          <w:shd w:val="clear" w:color="auto" w:fill="FFFFFF"/>
        </w:rPr>
        <w:t>经营的稳定性产生不良影响。</w:t>
      </w:r>
      <w:bookmarkEnd w:id="299"/>
      <w:bookmarkStart w:id="304" w:name="OLE_LINK162"/>
      <w:bookmarkEnd w:id="304"/>
      <w:bookmarkStart w:id="305" w:name="OLE_LINK163"/>
      <w:bookmarkEnd w:id="305"/>
    </w:p>
    <w:bookmarkEnd w:id="303"/>
    <w:p w14:paraId="6FF5A5BF">
      <w:pPr>
        <w:pStyle w:val="3"/>
        <w:keepNext/>
        <w:keepLines/>
        <w:spacing w:before="312" w:after="156"/>
        <w:rPr>
          <w:rFonts w:hint="default"/>
          <w:shd w:val="clear" w:color="auto" w:fill="FFFFFF"/>
        </w:rPr>
      </w:pPr>
      <w:bookmarkStart w:id="306" w:name="_Toc26645"/>
      <w:r>
        <w:rPr>
          <w:rFonts w:hint="default"/>
          <w:shd w:val="clear" w:color="auto" w:fill="FFFFFF"/>
        </w:rPr>
        <w:t>4.2</w:t>
      </w:r>
      <w:r>
        <w:rPr>
          <w:shd w:val="clear" w:color="auto" w:fill="FFFFFF"/>
        </w:rPr>
        <w:t xml:space="preserve">  建议</w:t>
      </w:r>
      <w:bookmarkEnd w:id="306"/>
    </w:p>
    <w:p w14:paraId="3DE48B58">
      <w:pPr>
        <w:pStyle w:val="4"/>
        <w:spacing w:before="156" w:after="156"/>
      </w:pPr>
      <w:bookmarkStart w:id="307" w:name="_Toc9955"/>
      <w:bookmarkStart w:id="308" w:name="OLE_LINK166"/>
      <w:r>
        <w:t>4.2.1  加强应收账款管理</w:t>
      </w:r>
      <w:bookmarkEnd w:id="307"/>
    </w:p>
    <w:bookmarkEnd w:id="308"/>
    <w:p w14:paraId="03C28BA9">
      <w:pPr>
        <w:ind w:firstLine="480"/>
        <w:rPr>
          <w:rFonts w:hint="eastAsia" w:ascii="宋体" w:hAnsi="宋体" w:cs="Segoe UI"/>
          <w:color w:val="0F1115"/>
          <w:shd w:val="clear" w:color="auto" w:fill="FFFFFF"/>
        </w:rPr>
      </w:pPr>
      <w:bookmarkStart w:id="309" w:name="OLE_LINK164"/>
      <w:r>
        <w:rPr>
          <w:rFonts w:ascii="宋体" w:hAnsi="宋体" w:cs="Segoe UI"/>
          <w:color w:val="0F1115"/>
          <w:shd w:val="clear" w:color="auto" w:fill="FFFFFF"/>
        </w:rPr>
        <w:t>川能动力要依照各个业务的特点来创建不同的管理体系。对于新能源综合服务、环境卫生</w:t>
      </w:r>
      <w:r>
        <w:rPr>
          <w:rFonts w:hint="eastAsia" w:ascii="宋体" w:hAnsi="宋体" w:cs="Segoe UI"/>
          <w:color w:val="0F1115"/>
          <w:shd w:val="clear" w:color="auto" w:fill="FFFFFF"/>
        </w:rPr>
        <w:t>服务</w:t>
      </w:r>
      <w:r>
        <w:rPr>
          <w:rFonts w:ascii="宋体" w:hAnsi="宋体" w:cs="Segoe UI"/>
          <w:color w:val="0F1115"/>
          <w:shd w:val="clear" w:color="auto" w:fill="FFFFFF"/>
        </w:rPr>
        <w:t>、垃圾焚烧发电等</w:t>
      </w:r>
      <w:r>
        <w:rPr>
          <w:rFonts w:hint="eastAsia" w:ascii="宋体" w:hAnsi="宋体" w:cs="Segoe UI"/>
          <w:color w:val="0F1115"/>
          <w:shd w:val="clear" w:color="auto" w:fill="FFFFFF"/>
        </w:rPr>
        <w:t>业务</w:t>
      </w:r>
      <w:r>
        <w:rPr>
          <w:rFonts w:ascii="宋体" w:hAnsi="宋体" w:cs="Segoe UI"/>
          <w:color w:val="0F1115"/>
          <w:shd w:val="clear" w:color="auto" w:fill="FFFFFF"/>
        </w:rPr>
        <w:t>，应在其合同文本中对付款节点、违约条款等作出详尽规定，设置专门的团队从事项目从竣工验收到发票开票、款项申请、资金回收等全过程管理工作。对</w:t>
      </w:r>
      <w:r>
        <w:rPr>
          <w:rFonts w:hint="eastAsia" w:ascii="宋体" w:hAnsi="宋体" w:cs="Segoe UI"/>
          <w:color w:val="0F1115"/>
          <w:shd w:val="clear" w:color="auto" w:fill="FFFFFF"/>
        </w:rPr>
        <w:t>应收账款</w:t>
      </w:r>
      <w:r>
        <w:rPr>
          <w:rFonts w:ascii="宋体" w:hAnsi="宋体" w:cs="Segoe UI"/>
          <w:color w:val="0F1115"/>
          <w:shd w:val="clear" w:color="auto" w:fill="FFFFFF"/>
        </w:rPr>
        <w:t>账龄在一年以上的欠款</w:t>
      </w:r>
      <w:r>
        <w:rPr>
          <w:rFonts w:hint="eastAsia" w:ascii="宋体" w:hAnsi="宋体" w:cs="Segoe UI"/>
          <w:color w:val="0F1115"/>
          <w:shd w:val="clear" w:color="auto" w:fill="FFFFFF"/>
        </w:rPr>
        <w:t>可以主动协商分期还款</w:t>
      </w:r>
      <w:r>
        <w:rPr>
          <w:rFonts w:ascii="宋体" w:hAnsi="宋体" w:cs="Segoe UI"/>
          <w:color w:val="0F1115"/>
          <w:shd w:val="clear" w:color="auto" w:fill="FFFFFF"/>
        </w:rPr>
        <w:t>，对于三年以上的应收款项可以通过应收账款转让或者资产证券化等手段尽快变现。在开展新的业务时要对目标客户进行全方位的考察，合理安排回款周期，把资金较为稳定的工业企业作为合作企业的优先选择，从而改善企业的现金流动状况，</w:t>
      </w:r>
      <w:r>
        <w:rPr>
          <w:rFonts w:hint="eastAsia" w:ascii="宋体" w:hAnsi="宋体" w:cs="Segoe UI"/>
          <w:color w:val="0F1115"/>
          <w:shd w:val="clear" w:color="auto" w:fill="FFFFFF"/>
        </w:rPr>
        <w:t>降低</w:t>
      </w:r>
      <w:r>
        <w:rPr>
          <w:rFonts w:ascii="宋体" w:hAnsi="宋体" w:cs="Segoe UI"/>
          <w:color w:val="0F1115"/>
          <w:shd w:val="clear" w:color="auto" w:fill="FFFFFF"/>
        </w:rPr>
        <w:t>运营风险。</w:t>
      </w:r>
      <w:bookmarkEnd w:id="309"/>
      <w:bookmarkStart w:id="310" w:name="OLE_LINK159"/>
      <w:bookmarkEnd w:id="310"/>
    </w:p>
    <w:p w14:paraId="597479F5">
      <w:pPr>
        <w:pStyle w:val="4"/>
        <w:spacing w:before="156" w:after="156"/>
        <w:rPr>
          <w:rStyle w:val="22"/>
          <w:b/>
          <w:bCs w:val="0"/>
        </w:rPr>
      </w:pPr>
      <w:bookmarkStart w:id="311" w:name="_Toc20649"/>
      <w:r>
        <w:t xml:space="preserve">4.2.2  </w:t>
      </w:r>
      <w:bookmarkStart w:id="312" w:name="OLE_LINK165"/>
      <w:r>
        <w:rPr>
          <w:rStyle w:val="22"/>
          <w:b/>
          <w:bCs w:val="0"/>
        </w:rPr>
        <w:t>提高资产使用效率</w:t>
      </w:r>
      <w:bookmarkEnd w:id="311"/>
      <w:bookmarkEnd w:id="312"/>
    </w:p>
    <w:p w14:paraId="6477823F">
      <w:pPr>
        <w:ind w:firstLine="480"/>
        <w:rPr>
          <w:color w:val="0F1115"/>
          <w:shd w:val="clear" w:color="auto" w:fill="FFFFFF"/>
        </w:rPr>
      </w:pPr>
      <w:bookmarkStart w:id="313" w:name="OLE_LINK169"/>
      <w:bookmarkEnd w:id="313"/>
      <w:bookmarkStart w:id="314" w:name="OLE_LINK168"/>
      <w:bookmarkEnd w:id="314"/>
      <w:bookmarkStart w:id="315" w:name="OLE_LINK167"/>
      <w:bookmarkEnd w:id="315"/>
      <w:r>
        <w:rPr>
          <w:color w:val="0F1115"/>
          <w:shd w:val="clear" w:color="auto" w:fill="FFFFFF"/>
        </w:rPr>
        <w:t>川能动力</w:t>
      </w:r>
      <w:bookmarkStart w:id="316" w:name="OLE_LINK267"/>
      <w:r>
        <w:rPr>
          <w:color w:val="0F1115"/>
          <w:shd w:val="clear" w:color="auto" w:fill="FFFFFF"/>
        </w:rPr>
        <w:t>在项目</w:t>
      </w:r>
      <w:r>
        <w:rPr>
          <w:rFonts w:hint="eastAsia"/>
          <w:color w:val="0F1115"/>
          <w:shd w:val="clear" w:color="auto" w:fill="FFFFFF"/>
        </w:rPr>
        <w:t>投资前</w:t>
      </w:r>
      <w:r>
        <w:rPr>
          <w:color w:val="0F1115"/>
          <w:shd w:val="clear" w:color="auto" w:fill="FFFFFF"/>
        </w:rPr>
        <w:t>就要对项目的收益进行全方位的评估，根据重资产项目的长期投资回报特点，谨慎地制定业务扩张策略。对正在修建的工程要创建起完整的进度管理机制，防止由于审批拖拉、施工组织不合理、电力配套不足等引发的工程建设时间拖延风险，保证工程按期建成并投入使用。需要不断检</w:t>
      </w:r>
      <w:bookmarkEnd w:id="316"/>
      <w:r>
        <w:rPr>
          <w:color w:val="0F1115"/>
          <w:shd w:val="clear" w:color="auto" w:fill="FFFFFF"/>
        </w:rPr>
        <w:t>测李家沟锂矿的生产运行情况，对</w:t>
      </w:r>
      <w:r>
        <w:rPr>
          <w:rFonts w:hint="eastAsia"/>
          <w:color w:val="0F1115"/>
          <w:shd w:val="clear" w:color="auto" w:fill="FFFFFF"/>
        </w:rPr>
        <w:t>现有资产</w:t>
      </w:r>
      <w:r>
        <w:rPr>
          <w:color w:val="0F1115"/>
          <w:shd w:val="clear" w:color="auto" w:fill="FFFFFF"/>
        </w:rPr>
        <w:t>的有效利用率展开全面剖析，依靠技术革新改善老旧设备的生产能力，或者采用售后回租等方式盘活闲置资源；对于技术陈旧、维护费用较高的生产设备，应当尽快制定更新替换或者淘汰计划来改善资源分配的效率。</w:t>
      </w:r>
    </w:p>
    <w:p w14:paraId="57CC8759">
      <w:pPr>
        <w:pStyle w:val="4"/>
        <w:spacing w:before="156" w:after="156"/>
        <w:rPr>
          <w:shd w:val="clear" w:color="auto" w:fill="FFFFFF"/>
        </w:rPr>
      </w:pPr>
      <w:bookmarkStart w:id="317" w:name="_Toc15416"/>
      <w:r>
        <w:rPr>
          <w:rFonts w:hint="eastAsia"/>
          <w:shd w:val="clear" w:color="auto" w:fill="FFFFFF"/>
        </w:rPr>
        <w:t>4.2.3  优化业务结构</w:t>
      </w:r>
      <w:bookmarkEnd w:id="317"/>
    </w:p>
    <w:p w14:paraId="5C7140B7">
      <w:pPr>
        <w:ind w:firstLine="480"/>
        <w:rPr>
          <w:b/>
          <w:bCs/>
          <w:color w:val="0F1115"/>
          <w:shd w:val="clear" w:color="auto" w:fill="FFFFFF"/>
        </w:rPr>
      </w:pPr>
      <w:r>
        <w:rPr>
          <w:rFonts w:ascii="Segoe UI" w:hAnsi="Segoe UI" w:cs="Segoe UI"/>
          <w:color w:val="0F1115"/>
          <w:shd w:val="clear" w:color="auto" w:fill="FFFFFF"/>
        </w:rPr>
        <w:t>川能动力要着重发展风电和光伏领域，依靠技术创新改善产业格局</w:t>
      </w:r>
      <w:r>
        <w:rPr>
          <w:rFonts w:hint="eastAsia" w:ascii="Segoe UI" w:hAnsi="Segoe UI" w:cs="Segoe UI"/>
          <w:color w:val="0F1115"/>
          <w:shd w:val="clear" w:color="auto" w:fill="FFFFFF"/>
        </w:rPr>
        <w:t>。</w:t>
      </w:r>
      <w:r>
        <w:rPr>
          <w:rFonts w:ascii="Segoe UI" w:hAnsi="Segoe UI" w:cs="Segoe UI"/>
          <w:color w:val="0F1115"/>
          <w:shd w:val="clear" w:color="auto" w:fill="FFFFFF"/>
        </w:rPr>
        <w:t>根据现有的垃圾焚烧发电以及环卫服务体系，探寻循环经济有关业态的发展途径，比如形成完善的再生资源回收网络体系，推进生活垃圾分类精细化治理等措施，全方位拓宽经营范畴。由于锂电板块受到碳酸锂市场价格波动的影响较大，因此公司</w:t>
      </w:r>
      <w:r>
        <w:rPr>
          <w:rFonts w:hint="eastAsia" w:ascii="Segoe UI" w:hAnsi="Segoe UI" w:cs="Segoe UI"/>
          <w:color w:val="0F1115"/>
          <w:shd w:val="clear" w:color="auto" w:fill="FFFFFF"/>
        </w:rPr>
        <w:t>需要</w:t>
      </w:r>
      <w:r>
        <w:rPr>
          <w:rFonts w:ascii="Segoe UI" w:hAnsi="Segoe UI" w:cs="Segoe UI"/>
          <w:color w:val="0F1115"/>
          <w:shd w:val="clear" w:color="auto" w:fill="FFFFFF"/>
        </w:rPr>
        <w:t>建立完善的供需协同机制，同下游客户签订长期的供应合同来稳定主要的原材料价格范围，并且加大研发投入以降低原料价格和生产费用，从而提高公司的抗风险能力。根据发展战略规划，从前瞻性角度出发来评判储能设施、充电桩建造、绿色能源交易这些前沿领域所蕴含的商业价值以及发展潜能，从而促使主业的结构向着多元化战略转变，并且朝着协同发展的方向前进。</w:t>
      </w:r>
      <w:bookmarkEnd w:id="286"/>
      <w:bookmarkEnd w:id="292"/>
      <w:bookmarkEnd w:id="293"/>
      <w:bookmarkStart w:id="318" w:name="OLE_LINK51"/>
    </w:p>
    <w:p w14:paraId="7FCC8F15">
      <w:pPr>
        <w:widowControl/>
        <w:ind w:firstLine="480"/>
      </w:pPr>
      <w:r>
        <w:br w:type="page"/>
      </w:r>
    </w:p>
    <w:bookmarkEnd w:id="318"/>
    <w:p w14:paraId="659A1A54">
      <w:pPr>
        <w:pStyle w:val="2"/>
        <w:spacing w:before="312" w:after="312"/>
      </w:pPr>
      <w:bookmarkStart w:id="319" w:name="_Toc11419"/>
      <w:r>
        <w:rPr>
          <w:rFonts w:hint="eastAsia"/>
        </w:rPr>
        <w:t>参考文献</w:t>
      </w:r>
      <w:bookmarkEnd w:id="319"/>
    </w:p>
    <w:p w14:paraId="63F0F28A">
      <w:pPr>
        <w:spacing w:line="360" w:lineRule="exact"/>
        <w:ind w:left="420" w:hanging="420" w:hangingChars="200"/>
        <w:rPr>
          <w:rFonts w:ascii="宋体" w:hAnsi="Courier New"/>
          <w:sz w:val="21"/>
          <w:szCs w:val="21"/>
        </w:rPr>
      </w:pPr>
      <w:r>
        <w:rPr>
          <w:rFonts w:ascii="宋体" w:hAnsi="宋体"/>
          <w:sz w:val="21"/>
          <w:szCs w:val="21"/>
        </w:rPr>
        <w:t>[</w:t>
      </w:r>
      <w:r>
        <w:rPr>
          <w:sz w:val="21"/>
          <w:szCs w:val="21"/>
        </w:rPr>
        <w:t>1</w:t>
      </w:r>
      <w:r>
        <w:rPr>
          <w:rFonts w:ascii="宋体" w:hAnsi="宋体"/>
          <w:sz w:val="21"/>
          <w:szCs w:val="21"/>
        </w:rPr>
        <w:t>]</w:t>
      </w:r>
      <w:r>
        <w:rPr>
          <w:rFonts w:hint="eastAsia" w:ascii="宋体" w:hAnsi="宋体"/>
          <w:sz w:val="21"/>
          <w:szCs w:val="21"/>
        </w:rPr>
        <w:t xml:space="preserve"> </w:t>
      </w:r>
      <w:r>
        <w:rPr>
          <w:rFonts w:ascii="宋体" w:hAnsi="宋体"/>
          <w:sz w:val="21"/>
          <w:szCs w:val="21"/>
        </w:rPr>
        <w:t>郭菁菁.光伏产业绿色转型绩效评价研究[</w:t>
      </w:r>
      <w:r>
        <w:rPr>
          <w:sz w:val="21"/>
          <w:szCs w:val="21"/>
        </w:rPr>
        <w:t>J</w:t>
      </w:r>
      <w:r>
        <w:rPr>
          <w:rFonts w:ascii="宋体" w:hAnsi="宋体"/>
          <w:sz w:val="21"/>
          <w:szCs w:val="21"/>
        </w:rPr>
        <w:t>]</w:t>
      </w:r>
      <w:r>
        <w:rPr>
          <w:sz w:val="21"/>
          <w:szCs w:val="21"/>
        </w:rPr>
        <w:t>.</w:t>
      </w:r>
      <w:r>
        <w:rPr>
          <w:rFonts w:ascii="宋体" w:hAnsi="宋体"/>
          <w:sz w:val="21"/>
          <w:szCs w:val="21"/>
        </w:rPr>
        <w:t>现代工业经济和信息化</w:t>
      </w:r>
      <w:r>
        <w:rPr>
          <w:sz w:val="21"/>
          <w:szCs w:val="21"/>
        </w:rPr>
        <w:t>,2025,15</w:t>
      </w:r>
      <w:r>
        <w:rPr>
          <w:rFonts w:hint="eastAsia"/>
          <w:sz w:val="21"/>
          <w:szCs w:val="21"/>
        </w:rPr>
        <w:t xml:space="preserve"> </w:t>
      </w:r>
      <w:r>
        <w:rPr>
          <w:sz w:val="21"/>
          <w:szCs w:val="21"/>
        </w:rPr>
        <w:t>(11):173-178.</w:t>
      </w:r>
    </w:p>
    <w:p w14:paraId="2D9572CC">
      <w:pPr>
        <w:spacing w:line="360" w:lineRule="exact"/>
        <w:ind w:left="420" w:hanging="420" w:hangingChars="200"/>
        <w:rPr>
          <w:sz w:val="21"/>
          <w:szCs w:val="21"/>
        </w:rPr>
      </w:pPr>
      <w:r>
        <w:rPr>
          <w:rFonts w:ascii="宋体" w:hAnsi="宋体"/>
          <w:sz w:val="21"/>
          <w:szCs w:val="21"/>
        </w:rPr>
        <w:t>[</w:t>
      </w:r>
      <w:r>
        <w:rPr>
          <w:sz w:val="21"/>
          <w:szCs w:val="21"/>
        </w:rPr>
        <w:t>2</w:t>
      </w:r>
      <w:r>
        <w:rPr>
          <w:rFonts w:ascii="宋体" w:hAnsi="宋体"/>
          <w:sz w:val="21"/>
          <w:szCs w:val="21"/>
        </w:rPr>
        <w:t>]</w:t>
      </w:r>
      <w:r>
        <w:rPr>
          <w:rFonts w:hint="eastAsia" w:ascii="宋体" w:hAnsi="宋体"/>
          <w:sz w:val="21"/>
          <w:szCs w:val="21"/>
        </w:rPr>
        <w:t xml:space="preserve"> </w:t>
      </w:r>
      <w:r>
        <w:rPr>
          <w:rFonts w:ascii="宋体" w:hAnsi="宋体"/>
          <w:sz w:val="21"/>
          <w:szCs w:val="21"/>
        </w:rPr>
        <w:t>杜立辉,刘冠军,王崇彩.基于因子分析的开滦股份财务绩效分析评价[</w:t>
      </w:r>
      <w:r>
        <w:rPr>
          <w:sz w:val="21"/>
          <w:szCs w:val="21"/>
        </w:rPr>
        <w:t>J</w:t>
      </w:r>
      <w:r>
        <w:rPr>
          <w:rFonts w:ascii="宋体" w:hAnsi="宋体"/>
          <w:sz w:val="21"/>
          <w:szCs w:val="21"/>
        </w:rPr>
        <w:t>]</w:t>
      </w:r>
      <w:r>
        <w:rPr>
          <w:sz w:val="21"/>
          <w:szCs w:val="21"/>
        </w:rPr>
        <w:t>.</w:t>
      </w:r>
      <w:r>
        <w:rPr>
          <w:rFonts w:ascii="宋体" w:hAnsi="宋体"/>
          <w:sz w:val="21"/>
          <w:szCs w:val="21"/>
        </w:rPr>
        <w:t>中国煤炭</w:t>
      </w:r>
      <w:r>
        <w:rPr>
          <w:sz w:val="21"/>
          <w:szCs w:val="21"/>
        </w:rPr>
        <w:t>,</w:t>
      </w:r>
      <w:r>
        <w:rPr>
          <w:rFonts w:hint="eastAsia"/>
          <w:sz w:val="21"/>
          <w:szCs w:val="21"/>
        </w:rPr>
        <w:t xml:space="preserve"> </w:t>
      </w:r>
      <w:r>
        <w:rPr>
          <w:sz w:val="21"/>
          <w:szCs w:val="21"/>
        </w:rPr>
        <w:t>2025,51(05):28-38.</w:t>
      </w:r>
    </w:p>
    <w:p w14:paraId="5961CDB4">
      <w:pPr>
        <w:spacing w:line="360" w:lineRule="exact"/>
        <w:ind w:left="420" w:hanging="420" w:hangingChars="200"/>
        <w:rPr>
          <w:rFonts w:ascii="宋体" w:hAnsi="Courier New"/>
          <w:sz w:val="21"/>
          <w:szCs w:val="21"/>
        </w:rPr>
      </w:pPr>
      <w:r>
        <w:rPr>
          <w:rFonts w:ascii="宋体" w:hAnsi="宋体"/>
          <w:sz w:val="21"/>
          <w:szCs w:val="21"/>
        </w:rPr>
        <w:t>[</w:t>
      </w:r>
      <w:r>
        <w:rPr>
          <w:sz w:val="21"/>
          <w:szCs w:val="21"/>
        </w:rPr>
        <w:t>3</w:t>
      </w:r>
      <w:r>
        <w:rPr>
          <w:rFonts w:ascii="宋体" w:hAnsi="宋体"/>
          <w:sz w:val="21"/>
          <w:szCs w:val="21"/>
        </w:rPr>
        <w:t>]</w:t>
      </w:r>
      <w:r>
        <w:rPr>
          <w:rFonts w:hint="eastAsia" w:ascii="宋体" w:hAnsi="宋体"/>
          <w:sz w:val="21"/>
          <w:szCs w:val="21"/>
        </w:rPr>
        <w:t xml:space="preserve"> </w:t>
      </w:r>
      <w:r>
        <w:rPr>
          <w:rFonts w:ascii="宋体" w:hAnsi="宋体"/>
          <w:sz w:val="21"/>
          <w:szCs w:val="21"/>
        </w:rPr>
        <w:t>田思远,王孝松.中国对外直接投资与双边贸易结构绿色转型</w:t>
      </w:r>
      <w:r>
        <w:rPr>
          <w:sz w:val="21"/>
          <w:szCs w:val="21"/>
        </w:rPr>
        <w:t>——</w:t>
      </w:r>
      <w:r>
        <w:rPr>
          <w:rFonts w:ascii="宋体" w:hAnsi="宋体"/>
          <w:sz w:val="21"/>
          <w:szCs w:val="21"/>
        </w:rPr>
        <w:t>来自</w:t>
      </w:r>
      <w:r>
        <w:rPr>
          <w:sz w:val="21"/>
          <w:szCs w:val="21"/>
        </w:rPr>
        <w:t>“</w:t>
      </w:r>
      <w:r>
        <w:rPr>
          <w:rFonts w:ascii="宋体" w:hAnsi="宋体"/>
          <w:sz w:val="21"/>
          <w:szCs w:val="21"/>
        </w:rPr>
        <w:t>一带一路</w:t>
      </w:r>
      <w:r>
        <w:rPr>
          <w:sz w:val="21"/>
          <w:szCs w:val="21"/>
        </w:rPr>
        <w:t>”</w:t>
      </w:r>
      <w:r>
        <w:rPr>
          <w:rFonts w:ascii="宋体" w:hAnsi="宋体"/>
          <w:sz w:val="21"/>
          <w:szCs w:val="21"/>
        </w:rPr>
        <w:t>沿线国家的经验分析[</w:t>
      </w:r>
      <w:r>
        <w:rPr>
          <w:sz w:val="21"/>
          <w:szCs w:val="21"/>
        </w:rPr>
        <w:t>J</w:t>
      </w:r>
      <w:r>
        <w:rPr>
          <w:rFonts w:ascii="宋体" w:hAnsi="宋体"/>
          <w:sz w:val="21"/>
          <w:szCs w:val="21"/>
        </w:rPr>
        <w:t>]</w:t>
      </w:r>
      <w:r>
        <w:rPr>
          <w:sz w:val="21"/>
          <w:szCs w:val="21"/>
        </w:rPr>
        <w:t>.</w:t>
      </w:r>
      <w:r>
        <w:rPr>
          <w:rFonts w:ascii="宋体" w:hAnsi="宋体"/>
          <w:sz w:val="21"/>
          <w:szCs w:val="21"/>
        </w:rPr>
        <w:t>经济经纬</w:t>
      </w:r>
      <w:r>
        <w:rPr>
          <w:sz w:val="21"/>
          <w:szCs w:val="21"/>
        </w:rPr>
        <w:t>,2024,41(04):69-79.</w:t>
      </w:r>
    </w:p>
    <w:p w14:paraId="181D6B2E">
      <w:pPr>
        <w:spacing w:line="360" w:lineRule="exact"/>
        <w:ind w:left="420" w:hanging="420" w:hangingChars="200"/>
        <w:rPr>
          <w:sz w:val="21"/>
          <w:szCs w:val="21"/>
        </w:rPr>
      </w:pPr>
      <w:r>
        <w:rPr>
          <w:rFonts w:ascii="宋体" w:hAnsi="宋体"/>
          <w:sz w:val="21"/>
          <w:szCs w:val="21"/>
        </w:rPr>
        <w:t>[</w:t>
      </w:r>
      <w:r>
        <w:rPr>
          <w:sz w:val="21"/>
          <w:szCs w:val="21"/>
        </w:rPr>
        <w:t>4</w:t>
      </w:r>
      <w:r>
        <w:rPr>
          <w:rFonts w:ascii="宋体" w:hAnsi="宋体"/>
          <w:sz w:val="21"/>
          <w:szCs w:val="21"/>
        </w:rPr>
        <w:t>]</w:t>
      </w:r>
      <w:r>
        <w:rPr>
          <w:rFonts w:hint="eastAsia" w:ascii="宋体" w:hAnsi="宋体"/>
          <w:sz w:val="21"/>
          <w:szCs w:val="21"/>
        </w:rPr>
        <w:t xml:space="preserve"> </w:t>
      </w:r>
      <w:r>
        <w:rPr>
          <w:rFonts w:ascii="宋体" w:hAnsi="宋体"/>
          <w:sz w:val="21"/>
          <w:szCs w:val="21"/>
        </w:rPr>
        <w:t>张海燕.绿色转型对财务绩效的影响研究</w:t>
      </w:r>
      <w:r>
        <w:rPr>
          <w:sz w:val="21"/>
          <w:szCs w:val="21"/>
        </w:rPr>
        <w:t>——</w:t>
      </w:r>
      <w:r>
        <w:rPr>
          <w:rFonts w:ascii="宋体" w:hAnsi="宋体"/>
          <w:sz w:val="21"/>
          <w:szCs w:val="21"/>
        </w:rPr>
        <w:t>以安徽海螺水泥股份有限公司为例[</w:t>
      </w:r>
      <w:r>
        <w:rPr>
          <w:sz w:val="21"/>
          <w:szCs w:val="21"/>
        </w:rPr>
        <w:t>J</w:t>
      </w:r>
      <w:r>
        <w:rPr>
          <w:rFonts w:ascii="宋体" w:hAnsi="宋体"/>
          <w:sz w:val="21"/>
          <w:szCs w:val="21"/>
        </w:rPr>
        <w:t>]</w:t>
      </w:r>
      <w:r>
        <w:rPr>
          <w:sz w:val="21"/>
          <w:szCs w:val="21"/>
        </w:rPr>
        <w:t>.</w:t>
      </w:r>
      <w:r>
        <w:rPr>
          <w:rFonts w:ascii="宋体" w:hAnsi="宋体"/>
          <w:sz w:val="21"/>
          <w:szCs w:val="21"/>
        </w:rPr>
        <w:t>吉林金融研究</w:t>
      </w:r>
      <w:r>
        <w:rPr>
          <w:sz w:val="21"/>
          <w:szCs w:val="21"/>
        </w:rPr>
        <w:t>,2024,(04):39-45.</w:t>
      </w:r>
    </w:p>
    <w:p w14:paraId="3BA56FB2">
      <w:pPr>
        <w:spacing w:line="360" w:lineRule="exact"/>
        <w:ind w:left="420" w:hanging="420" w:hangingChars="200"/>
        <w:rPr>
          <w:rFonts w:ascii="宋体" w:hAnsi="Courier New"/>
          <w:sz w:val="21"/>
          <w:szCs w:val="21"/>
        </w:rPr>
      </w:pPr>
      <w:r>
        <w:rPr>
          <w:rFonts w:ascii="宋体" w:hAnsi="宋体"/>
          <w:sz w:val="21"/>
          <w:szCs w:val="21"/>
        </w:rPr>
        <w:t>[</w:t>
      </w:r>
      <w:r>
        <w:rPr>
          <w:sz w:val="21"/>
          <w:szCs w:val="21"/>
        </w:rPr>
        <w:t>5</w:t>
      </w:r>
      <w:r>
        <w:rPr>
          <w:rFonts w:ascii="宋体" w:hAnsi="宋体"/>
          <w:sz w:val="21"/>
          <w:szCs w:val="21"/>
        </w:rPr>
        <w:t>]</w:t>
      </w:r>
      <w:r>
        <w:rPr>
          <w:rFonts w:hint="eastAsia" w:ascii="宋体" w:hAnsi="宋体"/>
          <w:sz w:val="21"/>
          <w:szCs w:val="21"/>
        </w:rPr>
        <w:t xml:space="preserve"> </w:t>
      </w:r>
      <w:r>
        <w:rPr>
          <w:rFonts w:ascii="宋体" w:hAnsi="宋体"/>
          <w:sz w:val="21"/>
          <w:szCs w:val="21"/>
        </w:rPr>
        <w:t>孔惠丽</w:t>
      </w:r>
      <w:r>
        <w:rPr>
          <w:sz w:val="21"/>
          <w:szCs w:val="21"/>
        </w:rPr>
        <w:t>,</w:t>
      </w:r>
      <w:r>
        <w:rPr>
          <w:rFonts w:ascii="宋体" w:hAnsi="宋体"/>
          <w:sz w:val="21"/>
          <w:szCs w:val="21"/>
        </w:rPr>
        <w:t>裴潇</w:t>
      </w:r>
      <w:r>
        <w:rPr>
          <w:sz w:val="21"/>
          <w:szCs w:val="21"/>
        </w:rPr>
        <w:t>.</w:t>
      </w:r>
      <w:r>
        <w:rPr>
          <w:rFonts w:ascii="宋体" w:hAnsi="宋体"/>
          <w:sz w:val="21"/>
          <w:szCs w:val="21"/>
        </w:rPr>
        <w:t>重污染企业绿色转型的价值创造与演化</w:t>
      </w:r>
      <w:r>
        <w:rPr>
          <w:sz w:val="21"/>
          <w:szCs w:val="21"/>
        </w:rPr>
        <w:t>——</w:t>
      </w:r>
      <w:r>
        <w:rPr>
          <w:rFonts w:ascii="宋体" w:hAnsi="宋体"/>
          <w:sz w:val="21"/>
          <w:szCs w:val="21"/>
        </w:rPr>
        <w:t>基于资源编排的案例研究[</w:t>
      </w:r>
      <w:r>
        <w:rPr>
          <w:sz w:val="21"/>
          <w:szCs w:val="21"/>
        </w:rPr>
        <w:t>J</w:t>
      </w:r>
      <w:r>
        <w:rPr>
          <w:rFonts w:ascii="宋体" w:hAnsi="宋体"/>
          <w:sz w:val="21"/>
          <w:szCs w:val="21"/>
        </w:rPr>
        <w:t>]</w:t>
      </w:r>
      <w:r>
        <w:rPr>
          <w:sz w:val="21"/>
          <w:szCs w:val="21"/>
        </w:rPr>
        <w:t>.</w:t>
      </w:r>
      <w:r>
        <w:rPr>
          <w:rFonts w:ascii="宋体" w:hAnsi="宋体"/>
          <w:sz w:val="21"/>
          <w:szCs w:val="21"/>
        </w:rPr>
        <w:t>科技管理研究</w:t>
      </w:r>
      <w:r>
        <w:rPr>
          <w:sz w:val="21"/>
          <w:szCs w:val="21"/>
        </w:rPr>
        <w:t>,2023,43(15):227-238.</w:t>
      </w:r>
    </w:p>
    <w:p w14:paraId="54BACB0A">
      <w:pPr>
        <w:spacing w:line="360" w:lineRule="exact"/>
        <w:ind w:left="420" w:hanging="420" w:hangingChars="200"/>
        <w:rPr>
          <w:rFonts w:ascii="宋体" w:hAnsi="Courier New"/>
          <w:sz w:val="21"/>
          <w:szCs w:val="21"/>
        </w:rPr>
      </w:pPr>
      <w:r>
        <w:rPr>
          <w:rFonts w:ascii="宋体" w:hAnsi="宋体"/>
          <w:sz w:val="21"/>
          <w:szCs w:val="21"/>
        </w:rPr>
        <w:t>[</w:t>
      </w:r>
      <w:r>
        <w:rPr>
          <w:sz w:val="21"/>
          <w:szCs w:val="21"/>
        </w:rPr>
        <w:t>6</w:t>
      </w:r>
      <w:r>
        <w:rPr>
          <w:rFonts w:ascii="宋体" w:hAnsi="宋体"/>
          <w:sz w:val="21"/>
          <w:szCs w:val="21"/>
        </w:rPr>
        <w:t>]</w:t>
      </w:r>
      <w:r>
        <w:rPr>
          <w:rFonts w:hint="eastAsia" w:ascii="宋体" w:hAnsi="宋体"/>
          <w:sz w:val="21"/>
          <w:szCs w:val="21"/>
        </w:rPr>
        <w:t xml:space="preserve"> </w:t>
      </w:r>
      <w:r>
        <w:rPr>
          <w:rFonts w:ascii="宋体" w:hAnsi="宋体"/>
          <w:sz w:val="21"/>
          <w:szCs w:val="21"/>
        </w:rPr>
        <w:t>张平</w:t>
      </w:r>
      <w:r>
        <w:rPr>
          <w:sz w:val="21"/>
          <w:szCs w:val="21"/>
        </w:rPr>
        <w:t>.</w:t>
      </w:r>
      <w:r>
        <w:rPr>
          <w:rFonts w:ascii="宋体" w:hAnsi="宋体"/>
          <w:sz w:val="21"/>
          <w:szCs w:val="21"/>
        </w:rPr>
        <w:t>中国经济绿色转型的路径</w:t>
      </w:r>
      <w:r>
        <w:rPr>
          <w:sz w:val="21"/>
          <w:szCs w:val="21"/>
        </w:rPr>
        <w:t>、</w:t>
      </w:r>
      <w:r>
        <w:rPr>
          <w:rFonts w:ascii="宋体" w:hAnsi="宋体"/>
          <w:sz w:val="21"/>
          <w:szCs w:val="21"/>
        </w:rPr>
        <w:t>结构与治理[</w:t>
      </w:r>
      <w:r>
        <w:rPr>
          <w:sz w:val="21"/>
          <w:szCs w:val="21"/>
        </w:rPr>
        <w:t>J</w:t>
      </w:r>
      <w:r>
        <w:rPr>
          <w:rFonts w:ascii="宋体" w:hAnsi="宋体"/>
          <w:sz w:val="21"/>
          <w:szCs w:val="21"/>
        </w:rPr>
        <w:t>]</w:t>
      </w:r>
      <w:r>
        <w:rPr>
          <w:sz w:val="21"/>
          <w:szCs w:val="21"/>
        </w:rPr>
        <w:t>.</w:t>
      </w:r>
      <w:r>
        <w:rPr>
          <w:rFonts w:ascii="宋体" w:hAnsi="宋体"/>
          <w:sz w:val="21"/>
          <w:szCs w:val="21"/>
        </w:rPr>
        <w:t>社会科学战线</w:t>
      </w:r>
      <w:r>
        <w:rPr>
          <w:sz w:val="21"/>
          <w:szCs w:val="21"/>
        </w:rPr>
        <w:t>,2022,(08):69-81+281.</w:t>
      </w:r>
    </w:p>
    <w:p w14:paraId="1D0C347F">
      <w:pPr>
        <w:spacing w:line="360" w:lineRule="exact"/>
        <w:ind w:left="420" w:hanging="420" w:hangingChars="200"/>
        <w:rPr>
          <w:sz w:val="21"/>
          <w:szCs w:val="21"/>
        </w:rPr>
      </w:pPr>
      <w:r>
        <w:rPr>
          <w:rFonts w:ascii="宋体" w:hAnsi="宋体"/>
          <w:sz w:val="21"/>
          <w:szCs w:val="21"/>
        </w:rPr>
        <w:t>[</w:t>
      </w:r>
      <w:r>
        <w:rPr>
          <w:sz w:val="21"/>
          <w:szCs w:val="21"/>
        </w:rPr>
        <w:t>7</w:t>
      </w:r>
      <w:r>
        <w:rPr>
          <w:rFonts w:ascii="宋体" w:hAnsi="宋体"/>
          <w:sz w:val="21"/>
          <w:szCs w:val="21"/>
        </w:rPr>
        <w:t>]</w:t>
      </w:r>
      <w:r>
        <w:rPr>
          <w:rFonts w:hint="eastAsia" w:ascii="宋体" w:hAnsi="宋体"/>
          <w:sz w:val="21"/>
          <w:szCs w:val="21"/>
        </w:rPr>
        <w:t xml:space="preserve"> </w:t>
      </w:r>
      <w:r>
        <w:rPr>
          <w:rFonts w:ascii="宋体" w:hAnsi="宋体"/>
          <w:sz w:val="21"/>
          <w:szCs w:val="21"/>
        </w:rPr>
        <w:t>肖静</w:t>
      </w:r>
      <w:r>
        <w:rPr>
          <w:sz w:val="21"/>
          <w:szCs w:val="21"/>
        </w:rPr>
        <w:t>,</w:t>
      </w:r>
      <w:r>
        <w:rPr>
          <w:rFonts w:ascii="宋体" w:hAnsi="宋体"/>
          <w:sz w:val="21"/>
          <w:szCs w:val="21"/>
        </w:rPr>
        <w:t>曾萍</w:t>
      </w:r>
      <w:r>
        <w:rPr>
          <w:sz w:val="21"/>
          <w:szCs w:val="21"/>
        </w:rPr>
        <w:t>,</w:t>
      </w:r>
      <w:r>
        <w:rPr>
          <w:rFonts w:ascii="宋体" w:hAnsi="宋体"/>
          <w:sz w:val="21"/>
          <w:szCs w:val="21"/>
        </w:rPr>
        <w:t>任鸽</w:t>
      </w:r>
      <w:r>
        <w:rPr>
          <w:rFonts w:hint="eastAsia"/>
          <w:sz w:val="21"/>
          <w:szCs w:val="21"/>
        </w:rPr>
        <w:t>,</w:t>
      </w:r>
      <w:r>
        <w:rPr>
          <w:rFonts w:ascii="宋体" w:hAnsi="宋体"/>
          <w:sz w:val="21"/>
          <w:szCs w:val="21"/>
        </w:rPr>
        <w:t>如何提升制造业绿色转型绩效</w:t>
      </w:r>
      <w:r>
        <w:rPr>
          <w:sz w:val="21"/>
          <w:szCs w:val="21"/>
        </w:rPr>
        <w:t>?——</w:t>
      </w:r>
      <w:r>
        <w:rPr>
          <w:rFonts w:ascii="宋体" w:hAnsi="宋体"/>
          <w:sz w:val="21"/>
          <w:szCs w:val="21"/>
        </w:rPr>
        <w:t>基于</w:t>
      </w:r>
      <w:r>
        <w:rPr>
          <w:sz w:val="21"/>
          <w:szCs w:val="21"/>
        </w:rPr>
        <w:t>TOE</w:t>
      </w:r>
      <w:r>
        <w:rPr>
          <w:rFonts w:ascii="宋体" w:hAnsi="宋体"/>
          <w:sz w:val="21"/>
          <w:szCs w:val="21"/>
        </w:rPr>
        <w:t>框架的组态研究[</w:t>
      </w:r>
      <w:r>
        <w:rPr>
          <w:sz w:val="21"/>
          <w:szCs w:val="21"/>
        </w:rPr>
        <w:t>J</w:t>
      </w:r>
      <w:r>
        <w:rPr>
          <w:rFonts w:ascii="宋体" w:hAnsi="宋体"/>
          <w:sz w:val="21"/>
          <w:szCs w:val="21"/>
        </w:rPr>
        <w:t>].科学学研究</w:t>
      </w:r>
      <w:r>
        <w:rPr>
          <w:sz w:val="21"/>
          <w:szCs w:val="21"/>
        </w:rPr>
        <w:t>,2022,40(12):2162-2172.</w:t>
      </w:r>
    </w:p>
    <w:p w14:paraId="7846BB42">
      <w:pPr>
        <w:spacing w:line="360" w:lineRule="exact"/>
        <w:ind w:left="420" w:hanging="420" w:hangingChars="200"/>
        <w:rPr>
          <w:rFonts w:ascii="宋体" w:hAnsi="Courier New"/>
          <w:sz w:val="21"/>
          <w:szCs w:val="21"/>
        </w:rPr>
      </w:pPr>
      <w:r>
        <w:rPr>
          <w:rFonts w:ascii="宋体" w:hAnsi="宋体"/>
          <w:sz w:val="21"/>
          <w:szCs w:val="21"/>
        </w:rPr>
        <w:t>[</w:t>
      </w:r>
      <w:r>
        <w:rPr>
          <w:sz w:val="21"/>
          <w:szCs w:val="21"/>
        </w:rPr>
        <w:t>8</w:t>
      </w:r>
      <w:r>
        <w:rPr>
          <w:rFonts w:ascii="宋体" w:hAnsi="宋体"/>
          <w:sz w:val="21"/>
          <w:szCs w:val="21"/>
        </w:rPr>
        <w:t>]</w:t>
      </w:r>
      <w:r>
        <w:rPr>
          <w:rFonts w:hint="eastAsia" w:ascii="宋体" w:hAnsi="宋体"/>
          <w:sz w:val="21"/>
          <w:szCs w:val="21"/>
        </w:rPr>
        <w:t xml:space="preserve"> </w:t>
      </w:r>
      <w:r>
        <w:rPr>
          <w:rFonts w:ascii="宋体" w:hAnsi="宋体"/>
          <w:sz w:val="21"/>
          <w:szCs w:val="21"/>
        </w:rPr>
        <w:t>解学梅</w:t>
      </w:r>
      <w:r>
        <w:rPr>
          <w:sz w:val="21"/>
          <w:szCs w:val="21"/>
        </w:rPr>
        <w:t>,</w:t>
      </w:r>
      <w:r>
        <w:rPr>
          <w:rFonts w:ascii="宋体" w:hAnsi="宋体"/>
          <w:sz w:val="21"/>
          <w:szCs w:val="21"/>
        </w:rPr>
        <w:t>韩宇航</w:t>
      </w:r>
      <w:r>
        <w:rPr>
          <w:sz w:val="21"/>
          <w:szCs w:val="21"/>
        </w:rPr>
        <w:t>.</w:t>
      </w:r>
      <w:r>
        <w:rPr>
          <w:rFonts w:ascii="宋体" w:hAnsi="宋体"/>
          <w:sz w:val="21"/>
          <w:szCs w:val="21"/>
        </w:rPr>
        <w:t>本土制造业企业如何在绿色创新中实现</w:t>
      </w:r>
      <w:r>
        <w:rPr>
          <w:sz w:val="21"/>
          <w:szCs w:val="21"/>
        </w:rPr>
        <w:t>“</w:t>
      </w:r>
      <w:r>
        <w:rPr>
          <w:rFonts w:ascii="宋体" w:hAnsi="宋体"/>
          <w:sz w:val="21"/>
          <w:szCs w:val="21"/>
        </w:rPr>
        <w:t>华丽转型</w:t>
      </w:r>
      <w:r>
        <w:rPr>
          <w:sz w:val="21"/>
          <w:szCs w:val="21"/>
        </w:rPr>
        <w:t>”</w:t>
      </w:r>
      <w:r>
        <w:rPr>
          <w:rFonts w:hint="eastAsia"/>
          <w:sz w:val="21"/>
          <w:szCs w:val="21"/>
        </w:rPr>
        <w:t>?</w:t>
      </w:r>
      <w:r>
        <w:rPr>
          <w:sz w:val="21"/>
          <w:szCs w:val="21"/>
        </w:rPr>
        <w:t>——</w:t>
      </w:r>
      <w:r>
        <w:rPr>
          <w:rFonts w:ascii="宋体" w:hAnsi="宋体"/>
          <w:sz w:val="21"/>
          <w:szCs w:val="21"/>
        </w:rPr>
        <w:t>基于注意力基础观的多案例研究[</w:t>
      </w:r>
      <w:r>
        <w:rPr>
          <w:sz w:val="21"/>
          <w:szCs w:val="21"/>
        </w:rPr>
        <w:t>J</w:t>
      </w:r>
      <w:r>
        <w:rPr>
          <w:rFonts w:ascii="宋体" w:hAnsi="宋体"/>
          <w:sz w:val="21"/>
          <w:szCs w:val="21"/>
        </w:rPr>
        <w:t>]</w:t>
      </w:r>
      <w:r>
        <w:rPr>
          <w:sz w:val="21"/>
          <w:szCs w:val="21"/>
        </w:rPr>
        <w:t>.</w:t>
      </w:r>
      <w:r>
        <w:rPr>
          <w:rFonts w:ascii="宋体" w:hAnsi="宋体"/>
          <w:sz w:val="21"/>
          <w:szCs w:val="21"/>
        </w:rPr>
        <w:t>管理世界</w:t>
      </w:r>
      <w:r>
        <w:rPr>
          <w:sz w:val="21"/>
          <w:szCs w:val="21"/>
        </w:rPr>
        <w:t>,2022,38(03):76-106.</w:t>
      </w:r>
    </w:p>
    <w:p w14:paraId="4C8ACBFC">
      <w:pPr>
        <w:spacing w:line="360" w:lineRule="exact"/>
        <w:ind w:left="420" w:hanging="420" w:hangingChars="200"/>
        <w:rPr>
          <w:sz w:val="21"/>
          <w:szCs w:val="21"/>
        </w:rPr>
      </w:pPr>
      <w:r>
        <w:rPr>
          <w:rFonts w:ascii="宋体" w:hAnsi="宋体"/>
          <w:sz w:val="21"/>
          <w:szCs w:val="21"/>
        </w:rPr>
        <w:t>[</w:t>
      </w:r>
      <w:r>
        <w:rPr>
          <w:sz w:val="21"/>
          <w:szCs w:val="21"/>
        </w:rPr>
        <w:t>9</w:t>
      </w:r>
      <w:r>
        <w:rPr>
          <w:rFonts w:ascii="宋体" w:hAnsi="宋体"/>
          <w:sz w:val="21"/>
          <w:szCs w:val="21"/>
        </w:rPr>
        <w:t>]</w:t>
      </w:r>
      <w:r>
        <w:rPr>
          <w:rFonts w:hint="eastAsia" w:ascii="宋体" w:hAnsi="宋体"/>
          <w:sz w:val="21"/>
          <w:szCs w:val="21"/>
        </w:rPr>
        <w:t xml:space="preserve"> </w:t>
      </w:r>
      <w:r>
        <w:rPr>
          <w:rFonts w:ascii="宋体" w:hAnsi="宋体"/>
          <w:sz w:val="21"/>
          <w:szCs w:val="21"/>
        </w:rPr>
        <w:t>万攀兵</w:t>
      </w:r>
      <w:r>
        <w:rPr>
          <w:sz w:val="21"/>
          <w:szCs w:val="21"/>
        </w:rPr>
        <w:t>,</w:t>
      </w:r>
      <w:r>
        <w:rPr>
          <w:rFonts w:ascii="宋体" w:hAnsi="宋体"/>
          <w:sz w:val="21"/>
          <w:szCs w:val="21"/>
        </w:rPr>
        <w:t>杨冕</w:t>
      </w:r>
      <w:r>
        <w:rPr>
          <w:sz w:val="21"/>
          <w:szCs w:val="21"/>
        </w:rPr>
        <w:t>,</w:t>
      </w:r>
      <w:r>
        <w:rPr>
          <w:rFonts w:ascii="宋体" w:hAnsi="宋体"/>
          <w:sz w:val="21"/>
          <w:szCs w:val="21"/>
        </w:rPr>
        <w:t>陈林</w:t>
      </w:r>
      <w:r>
        <w:rPr>
          <w:rFonts w:hint="eastAsia"/>
          <w:sz w:val="21"/>
          <w:szCs w:val="21"/>
        </w:rPr>
        <w:t>,</w:t>
      </w:r>
      <w:r>
        <w:rPr>
          <w:rFonts w:ascii="宋体" w:hAnsi="宋体"/>
          <w:sz w:val="21"/>
          <w:szCs w:val="21"/>
        </w:rPr>
        <w:t>环境技术标准何以影响中国制造业绿色转型</w:t>
      </w:r>
      <w:r>
        <w:rPr>
          <w:sz w:val="21"/>
          <w:szCs w:val="21"/>
        </w:rPr>
        <w:t>——</w:t>
      </w:r>
      <w:r>
        <w:rPr>
          <w:rFonts w:ascii="宋体" w:hAnsi="宋体"/>
          <w:sz w:val="21"/>
          <w:szCs w:val="21"/>
        </w:rPr>
        <w:t>基于技术改造的视角[</w:t>
      </w:r>
      <w:r>
        <w:rPr>
          <w:sz w:val="21"/>
          <w:szCs w:val="21"/>
        </w:rPr>
        <w:t>J</w:t>
      </w:r>
      <w:r>
        <w:rPr>
          <w:rFonts w:ascii="宋体" w:hAnsi="宋体"/>
          <w:sz w:val="21"/>
          <w:szCs w:val="21"/>
        </w:rPr>
        <w:t>]</w:t>
      </w:r>
      <w:r>
        <w:rPr>
          <w:sz w:val="21"/>
          <w:szCs w:val="21"/>
        </w:rPr>
        <w:t>.</w:t>
      </w:r>
      <w:r>
        <w:rPr>
          <w:rFonts w:ascii="宋体" w:hAnsi="宋体"/>
          <w:sz w:val="21"/>
          <w:szCs w:val="21"/>
        </w:rPr>
        <w:t>中国工业经济</w:t>
      </w:r>
      <w:r>
        <w:rPr>
          <w:sz w:val="21"/>
          <w:szCs w:val="21"/>
        </w:rPr>
        <w:t>,2021,(09):118-136. 2021.09.006.</w:t>
      </w:r>
      <w:r>
        <w:rPr>
          <w:rFonts w:hint="eastAsia"/>
          <w:sz w:val="21"/>
          <w:szCs w:val="21"/>
        </w:rPr>
        <w:t xml:space="preserve"> </w:t>
      </w:r>
    </w:p>
    <w:p w14:paraId="03C069E1">
      <w:pPr>
        <w:spacing w:line="360" w:lineRule="exact"/>
        <w:ind w:left="525" w:hanging="525" w:hangingChars="250"/>
        <w:rPr>
          <w:rFonts w:ascii="宋体" w:hAnsi="Courier New"/>
          <w:sz w:val="21"/>
          <w:szCs w:val="21"/>
        </w:rPr>
      </w:pPr>
      <w:r>
        <w:rPr>
          <w:rFonts w:ascii="宋体" w:hAnsi="宋体"/>
          <w:sz w:val="21"/>
          <w:szCs w:val="21"/>
        </w:rPr>
        <w:t>[</w:t>
      </w:r>
      <w:r>
        <w:rPr>
          <w:sz w:val="21"/>
          <w:szCs w:val="21"/>
        </w:rPr>
        <w:t>10</w:t>
      </w:r>
      <w:r>
        <w:rPr>
          <w:rFonts w:ascii="宋体" w:hAnsi="宋体"/>
          <w:sz w:val="21"/>
          <w:szCs w:val="21"/>
        </w:rPr>
        <w:t>]</w:t>
      </w:r>
      <w:r>
        <w:rPr>
          <w:rFonts w:hint="eastAsia" w:ascii="宋体" w:hAnsi="宋体"/>
          <w:sz w:val="21"/>
          <w:szCs w:val="21"/>
        </w:rPr>
        <w:t xml:space="preserve"> </w:t>
      </w:r>
      <w:r>
        <w:rPr>
          <w:rFonts w:ascii="宋体" w:hAnsi="宋体"/>
          <w:sz w:val="21"/>
          <w:szCs w:val="21"/>
        </w:rPr>
        <w:t>冯晓冬</w:t>
      </w:r>
      <w:r>
        <w:rPr>
          <w:sz w:val="21"/>
          <w:szCs w:val="21"/>
        </w:rPr>
        <w:t>.</w:t>
      </w:r>
      <w:r>
        <w:rPr>
          <w:rFonts w:ascii="宋体" w:hAnsi="宋体"/>
          <w:sz w:val="21"/>
          <w:szCs w:val="21"/>
        </w:rPr>
        <w:t>低碳经济下电力企业财务绩效评价体系构建策略[</w:t>
      </w:r>
      <w:r>
        <w:rPr>
          <w:sz w:val="21"/>
          <w:szCs w:val="21"/>
        </w:rPr>
        <w:t>J</w:t>
      </w:r>
      <w:r>
        <w:rPr>
          <w:rFonts w:ascii="宋体" w:hAnsi="宋体"/>
          <w:sz w:val="21"/>
          <w:szCs w:val="21"/>
        </w:rPr>
        <w:t>]</w:t>
      </w:r>
      <w:r>
        <w:rPr>
          <w:sz w:val="21"/>
          <w:szCs w:val="21"/>
        </w:rPr>
        <w:t>.</w:t>
      </w:r>
      <w:r>
        <w:rPr>
          <w:rFonts w:ascii="宋体" w:hAnsi="宋体"/>
          <w:sz w:val="21"/>
          <w:szCs w:val="21"/>
        </w:rPr>
        <w:t>上海商业</w:t>
      </w:r>
      <w:r>
        <w:rPr>
          <w:sz w:val="21"/>
          <w:szCs w:val="21"/>
        </w:rPr>
        <w:t>,2021,</w:t>
      </w:r>
      <w:r>
        <w:rPr>
          <w:rFonts w:hint="eastAsia"/>
          <w:sz w:val="21"/>
          <w:szCs w:val="21"/>
        </w:rPr>
        <w:t xml:space="preserve"> </w:t>
      </w:r>
      <w:r>
        <w:rPr>
          <w:sz w:val="21"/>
          <w:szCs w:val="21"/>
        </w:rPr>
        <w:t>(08):118-119.</w:t>
      </w:r>
    </w:p>
    <w:p w14:paraId="07AA7C5D">
      <w:pPr>
        <w:spacing w:line="360" w:lineRule="exact"/>
        <w:ind w:left="525" w:hanging="525" w:hangingChars="250"/>
        <w:rPr>
          <w:rFonts w:ascii="宋体" w:hAnsi="Courier New"/>
          <w:sz w:val="21"/>
          <w:szCs w:val="21"/>
        </w:rPr>
      </w:pPr>
      <w:r>
        <w:rPr>
          <w:rFonts w:ascii="宋体" w:hAnsi="宋体"/>
          <w:sz w:val="21"/>
          <w:szCs w:val="21"/>
        </w:rPr>
        <w:t>[</w:t>
      </w:r>
      <w:r>
        <w:rPr>
          <w:sz w:val="21"/>
          <w:szCs w:val="21"/>
        </w:rPr>
        <w:t>11</w:t>
      </w:r>
      <w:r>
        <w:rPr>
          <w:rFonts w:ascii="宋体" w:hAnsi="宋体"/>
          <w:sz w:val="21"/>
          <w:szCs w:val="21"/>
        </w:rPr>
        <w:t>]</w:t>
      </w:r>
      <w:r>
        <w:rPr>
          <w:rFonts w:hint="eastAsia" w:ascii="宋体" w:hAnsi="宋体"/>
          <w:sz w:val="21"/>
          <w:szCs w:val="21"/>
        </w:rPr>
        <w:t xml:space="preserve"> </w:t>
      </w:r>
      <w:r>
        <w:rPr>
          <w:rFonts w:ascii="宋体" w:hAnsi="宋体"/>
          <w:sz w:val="21"/>
          <w:szCs w:val="21"/>
        </w:rPr>
        <w:t>郭丕斌</w:t>
      </w:r>
      <w:r>
        <w:rPr>
          <w:sz w:val="21"/>
          <w:szCs w:val="21"/>
        </w:rPr>
        <w:t>,</w:t>
      </w:r>
      <w:r>
        <w:rPr>
          <w:rFonts w:ascii="宋体" w:hAnsi="宋体"/>
          <w:sz w:val="21"/>
          <w:szCs w:val="21"/>
        </w:rPr>
        <w:t>张爱琴</w:t>
      </w:r>
      <w:r>
        <w:rPr>
          <w:sz w:val="21"/>
          <w:szCs w:val="21"/>
        </w:rPr>
        <w:t>.</w:t>
      </w:r>
      <w:r>
        <w:rPr>
          <w:rFonts w:ascii="宋体" w:hAnsi="宋体"/>
          <w:sz w:val="21"/>
          <w:szCs w:val="21"/>
        </w:rPr>
        <w:t>负责任</w:t>
      </w:r>
      <w:r>
        <w:rPr>
          <w:sz w:val="21"/>
          <w:szCs w:val="21"/>
        </w:rPr>
        <w:t>创新</w:t>
      </w:r>
      <w:r>
        <w:rPr>
          <w:rFonts w:hint="eastAsia"/>
          <w:sz w:val="21"/>
          <w:szCs w:val="21"/>
        </w:rPr>
        <w:t>、</w:t>
      </w:r>
      <w:r>
        <w:rPr>
          <w:rFonts w:ascii="宋体" w:hAnsi="宋体"/>
          <w:sz w:val="21"/>
          <w:szCs w:val="21"/>
        </w:rPr>
        <w:t>动态能力与企业绿色转型升级[</w:t>
      </w:r>
      <w:r>
        <w:rPr>
          <w:sz w:val="21"/>
          <w:szCs w:val="21"/>
        </w:rPr>
        <w:t>J</w:t>
      </w:r>
      <w:r>
        <w:rPr>
          <w:rFonts w:ascii="宋体" w:hAnsi="宋体"/>
          <w:sz w:val="21"/>
          <w:szCs w:val="21"/>
        </w:rPr>
        <w:t>]</w:t>
      </w:r>
      <w:r>
        <w:rPr>
          <w:sz w:val="21"/>
          <w:szCs w:val="21"/>
        </w:rPr>
        <w:t>.</w:t>
      </w:r>
      <w:r>
        <w:rPr>
          <w:rFonts w:ascii="宋体" w:hAnsi="宋体"/>
          <w:sz w:val="21"/>
          <w:szCs w:val="21"/>
        </w:rPr>
        <w:t>科研管理</w:t>
      </w:r>
      <w:r>
        <w:rPr>
          <w:sz w:val="21"/>
          <w:szCs w:val="21"/>
        </w:rPr>
        <w:t>,2021,42</w:t>
      </w:r>
      <w:r>
        <w:rPr>
          <w:rFonts w:hint="eastAsia"/>
          <w:sz w:val="21"/>
          <w:szCs w:val="21"/>
        </w:rPr>
        <w:t xml:space="preserve"> </w:t>
      </w:r>
      <w:r>
        <w:rPr>
          <w:sz w:val="21"/>
          <w:szCs w:val="21"/>
        </w:rPr>
        <w:t>(07):31-39.</w:t>
      </w:r>
    </w:p>
    <w:p w14:paraId="3271A1ED">
      <w:pPr>
        <w:spacing w:line="360" w:lineRule="exact"/>
        <w:ind w:left="525" w:hanging="525" w:hangingChars="250"/>
        <w:rPr>
          <w:rFonts w:ascii="宋体" w:hAnsi="Courier New"/>
          <w:sz w:val="21"/>
          <w:szCs w:val="21"/>
        </w:rPr>
      </w:pPr>
      <w:r>
        <w:rPr>
          <w:rFonts w:ascii="宋体" w:hAnsi="宋体"/>
          <w:sz w:val="21"/>
          <w:szCs w:val="21"/>
        </w:rPr>
        <w:t>[</w:t>
      </w:r>
      <w:r>
        <w:rPr>
          <w:sz w:val="21"/>
          <w:szCs w:val="21"/>
        </w:rPr>
        <w:t>12</w:t>
      </w:r>
      <w:r>
        <w:rPr>
          <w:rFonts w:ascii="宋体" w:hAnsi="宋体"/>
          <w:sz w:val="21"/>
          <w:szCs w:val="21"/>
        </w:rPr>
        <w:t>]</w:t>
      </w:r>
      <w:r>
        <w:rPr>
          <w:rFonts w:hint="eastAsia" w:ascii="宋体" w:hAnsi="宋体"/>
          <w:sz w:val="21"/>
          <w:szCs w:val="21"/>
        </w:rPr>
        <w:t xml:space="preserve"> </w:t>
      </w:r>
      <w:r>
        <w:rPr>
          <w:rFonts w:ascii="宋体" w:hAnsi="宋体"/>
          <w:sz w:val="21"/>
          <w:szCs w:val="21"/>
        </w:rPr>
        <w:t>吕鹏</w:t>
      </w:r>
      <w:r>
        <w:rPr>
          <w:rFonts w:hint="eastAsia"/>
          <w:sz w:val="21"/>
          <w:szCs w:val="21"/>
        </w:rPr>
        <w:t>,</w:t>
      </w:r>
      <w:r>
        <w:rPr>
          <w:rFonts w:ascii="宋体" w:hAnsi="宋体"/>
          <w:sz w:val="21"/>
          <w:szCs w:val="21"/>
        </w:rPr>
        <w:t>黄送钦</w:t>
      </w:r>
      <w:r>
        <w:rPr>
          <w:rFonts w:hint="eastAsia"/>
          <w:sz w:val="21"/>
          <w:szCs w:val="21"/>
        </w:rPr>
        <w:t>.</w:t>
      </w:r>
      <w:r>
        <w:rPr>
          <w:rFonts w:ascii="宋体" w:hAnsi="宋体"/>
          <w:sz w:val="21"/>
          <w:szCs w:val="21"/>
        </w:rPr>
        <w:t>环境规制压力会促进企业转型升级吗[</w:t>
      </w:r>
      <w:r>
        <w:rPr>
          <w:sz w:val="21"/>
          <w:szCs w:val="21"/>
        </w:rPr>
        <w:t>J</w:t>
      </w:r>
      <w:r>
        <w:rPr>
          <w:rFonts w:ascii="宋体" w:hAnsi="宋体"/>
          <w:sz w:val="21"/>
          <w:szCs w:val="21"/>
        </w:rPr>
        <w:t>]</w:t>
      </w:r>
      <w:r>
        <w:rPr>
          <w:rFonts w:hint="eastAsia"/>
          <w:sz w:val="21"/>
          <w:szCs w:val="21"/>
        </w:rPr>
        <w:t>.</w:t>
      </w:r>
      <w:r>
        <w:rPr>
          <w:rFonts w:ascii="宋体" w:hAnsi="宋体"/>
          <w:sz w:val="21"/>
          <w:szCs w:val="21"/>
        </w:rPr>
        <w:t>南开管理评论</w:t>
      </w:r>
      <w:r>
        <w:rPr>
          <w:rFonts w:hint="eastAsia"/>
          <w:sz w:val="21"/>
          <w:szCs w:val="21"/>
        </w:rPr>
        <w:t>,2021,24 (04):116-129.</w:t>
      </w:r>
    </w:p>
    <w:p w14:paraId="4C5DC608">
      <w:pPr>
        <w:spacing w:line="360" w:lineRule="exact"/>
        <w:ind w:left="525" w:hanging="525" w:hangingChars="250"/>
        <w:rPr>
          <w:rFonts w:ascii="宋体" w:hAnsi="Courier New"/>
          <w:sz w:val="21"/>
          <w:szCs w:val="21"/>
        </w:rPr>
      </w:pPr>
      <w:r>
        <w:rPr>
          <w:rFonts w:ascii="宋体" w:hAnsi="宋体"/>
          <w:sz w:val="21"/>
          <w:szCs w:val="21"/>
        </w:rPr>
        <w:t>[</w:t>
      </w:r>
      <w:r>
        <w:rPr>
          <w:sz w:val="21"/>
          <w:szCs w:val="21"/>
        </w:rPr>
        <w:t>13</w:t>
      </w:r>
      <w:r>
        <w:rPr>
          <w:rFonts w:ascii="宋体" w:hAnsi="宋体"/>
          <w:sz w:val="21"/>
          <w:szCs w:val="21"/>
        </w:rPr>
        <w:t>]</w:t>
      </w:r>
      <w:r>
        <w:rPr>
          <w:rFonts w:hint="eastAsia" w:ascii="宋体" w:hAnsi="宋体"/>
          <w:sz w:val="21"/>
          <w:szCs w:val="21"/>
        </w:rPr>
        <w:t xml:space="preserve"> </w:t>
      </w:r>
      <w:r>
        <w:rPr>
          <w:rFonts w:ascii="宋体" w:hAnsi="宋体"/>
          <w:sz w:val="21"/>
          <w:szCs w:val="21"/>
        </w:rPr>
        <w:t>任立改</w:t>
      </w:r>
      <w:r>
        <w:rPr>
          <w:rFonts w:hint="eastAsia"/>
          <w:sz w:val="21"/>
          <w:szCs w:val="21"/>
        </w:rPr>
        <w:t>.</w:t>
      </w:r>
      <w:r>
        <w:rPr>
          <w:rFonts w:ascii="宋体" w:hAnsi="宋体"/>
          <w:sz w:val="21"/>
          <w:szCs w:val="21"/>
        </w:rPr>
        <w:t>战略导向</w:t>
      </w:r>
      <w:r>
        <w:rPr>
          <w:rFonts w:hint="eastAsia"/>
          <w:sz w:val="21"/>
          <w:szCs w:val="21"/>
        </w:rPr>
        <w:t>、</w:t>
      </w:r>
      <w:r>
        <w:rPr>
          <w:rFonts w:ascii="宋体" w:hAnsi="宋体"/>
          <w:sz w:val="21"/>
          <w:szCs w:val="21"/>
        </w:rPr>
        <w:t>绿色管理与企业财务绩效[</w:t>
      </w:r>
      <w:r>
        <w:rPr>
          <w:sz w:val="21"/>
          <w:szCs w:val="21"/>
        </w:rPr>
        <w:t>J</w:t>
      </w:r>
      <w:r>
        <w:rPr>
          <w:rFonts w:ascii="宋体" w:hAnsi="宋体"/>
          <w:sz w:val="21"/>
          <w:szCs w:val="21"/>
        </w:rPr>
        <w:t>]</w:t>
      </w:r>
      <w:r>
        <w:rPr>
          <w:rFonts w:hint="eastAsia"/>
          <w:sz w:val="21"/>
          <w:szCs w:val="21"/>
        </w:rPr>
        <w:t>.</w:t>
      </w:r>
      <w:r>
        <w:rPr>
          <w:rFonts w:ascii="宋体" w:hAnsi="宋体"/>
          <w:sz w:val="21"/>
          <w:szCs w:val="21"/>
        </w:rPr>
        <w:t>财会通讯</w:t>
      </w:r>
      <w:r>
        <w:rPr>
          <w:rFonts w:hint="eastAsia"/>
          <w:sz w:val="21"/>
          <w:szCs w:val="21"/>
        </w:rPr>
        <w:t>,2021,(06):61-65.</w:t>
      </w:r>
    </w:p>
    <w:p w14:paraId="4482FEF1">
      <w:pPr>
        <w:spacing w:line="360" w:lineRule="exact"/>
        <w:ind w:left="525" w:hanging="525" w:hangingChars="250"/>
        <w:rPr>
          <w:rFonts w:ascii="宋体" w:hAnsi="Courier New"/>
          <w:sz w:val="21"/>
          <w:szCs w:val="21"/>
        </w:rPr>
      </w:pPr>
      <w:r>
        <w:rPr>
          <w:rFonts w:ascii="宋体" w:hAnsi="宋体"/>
          <w:sz w:val="21"/>
          <w:szCs w:val="21"/>
        </w:rPr>
        <w:t>[</w:t>
      </w:r>
      <w:r>
        <w:rPr>
          <w:sz w:val="21"/>
          <w:szCs w:val="21"/>
        </w:rPr>
        <w:t>14</w:t>
      </w:r>
      <w:r>
        <w:rPr>
          <w:rFonts w:ascii="宋体" w:hAnsi="宋体"/>
          <w:sz w:val="21"/>
          <w:szCs w:val="21"/>
        </w:rPr>
        <w:t>]</w:t>
      </w:r>
      <w:r>
        <w:rPr>
          <w:rFonts w:hint="eastAsia" w:ascii="宋体" w:hAnsi="宋体"/>
          <w:sz w:val="21"/>
          <w:szCs w:val="21"/>
        </w:rPr>
        <w:t xml:space="preserve"> </w:t>
      </w:r>
      <w:r>
        <w:rPr>
          <w:rFonts w:ascii="宋体" w:hAnsi="宋体"/>
          <w:sz w:val="21"/>
          <w:szCs w:val="21"/>
        </w:rPr>
        <w:t>王玉喜</w:t>
      </w:r>
      <w:r>
        <w:rPr>
          <w:rFonts w:hint="eastAsia"/>
          <w:sz w:val="21"/>
          <w:szCs w:val="21"/>
        </w:rPr>
        <w:t>.</w:t>
      </w:r>
      <w:r>
        <w:rPr>
          <w:rFonts w:ascii="宋体" w:hAnsi="宋体"/>
          <w:sz w:val="21"/>
          <w:szCs w:val="21"/>
        </w:rPr>
        <w:t>企业并购的财务绩效分析方法评价[</w:t>
      </w:r>
      <w:r>
        <w:rPr>
          <w:sz w:val="21"/>
          <w:szCs w:val="21"/>
        </w:rPr>
        <w:t>J</w:t>
      </w:r>
      <w:r>
        <w:rPr>
          <w:rFonts w:ascii="宋体" w:hAnsi="宋体"/>
          <w:sz w:val="21"/>
          <w:szCs w:val="21"/>
        </w:rPr>
        <w:t>]</w:t>
      </w:r>
      <w:r>
        <w:rPr>
          <w:rFonts w:hint="eastAsia"/>
          <w:sz w:val="21"/>
          <w:szCs w:val="21"/>
        </w:rPr>
        <w:t>.</w:t>
      </w:r>
      <w:r>
        <w:rPr>
          <w:rFonts w:ascii="宋体" w:hAnsi="宋体"/>
          <w:sz w:val="21"/>
          <w:szCs w:val="21"/>
        </w:rPr>
        <w:t>山西财经大学学报</w:t>
      </w:r>
      <w:r>
        <w:rPr>
          <w:rFonts w:hint="eastAsia"/>
          <w:sz w:val="21"/>
          <w:szCs w:val="21"/>
        </w:rPr>
        <w:t>,2020,42(S1):26-28.</w:t>
      </w:r>
    </w:p>
    <w:p w14:paraId="707B3BD0">
      <w:pPr>
        <w:spacing w:line="360" w:lineRule="exact"/>
        <w:ind w:left="525" w:hanging="525" w:hangingChars="250"/>
        <w:rPr>
          <w:sz w:val="21"/>
          <w:szCs w:val="21"/>
        </w:rPr>
      </w:pPr>
      <w:r>
        <w:rPr>
          <w:rFonts w:ascii="宋体" w:hAnsi="宋体"/>
          <w:sz w:val="21"/>
          <w:szCs w:val="21"/>
        </w:rPr>
        <w:t>[</w:t>
      </w:r>
      <w:r>
        <w:rPr>
          <w:sz w:val="21"/>
          <w:szCs w:val="21"/>
        </w:rPr>
        <w:t>15</w:t>
      </w:r>
      <w:r>
        <w:rPr>
          <w:rFonts w:ascii="宋体" w:hAnsi="宋体"/>
          <w:sz w:val="21"/>
          <w:szCs w:val="21"/>
        </w:rPr>
        <w:t>]</w:t>
      </w:r>
      <w:r>
        <w:rPr>
          <w:rFonts w:hint="eastAsia" w:ascii="宋体" w:hAnsi="宋体"/>
          <w:sz w:val="21"/>
          <w:szCs w:val="21"/>
        </w:rPr>
        <w:t xml:space="preserve"> </w:t>
      </w:r>
      <w:r>
        <w:rPr>
          <w:rFonts w:ascii="宋体" w:hAnsi="宋体"/>
          <w:sz w:val="21"/>
          <w:szCs w:val="21"/>
        </w:rPr>
        <w:t>孙丽文</w:t>
      </w:r>
      <w:r>
        <w:rPr>
          <w:sz w:val="21"/>
          <w:szCs w:val="21"/>
        </w:rPr>
        <w:t>,</w:t>
      </w:r>
      <w:r>
        <w:rPr>
          <w:rFonts w:ascii="宋体" w:hAnsi="宋体"/>
          <w:sz w:val="21"/>
          <w:szCs w:val="21"/>
        </w:rPr>
        <w:t>任相伟</w:t>
      </w:r>
      <w:r>
        <w:rPr>
          <w:sz w:val="21"/>
          <w:szCs w:val="21"/>
        </w:rPr>
        <w:t>.</w:t>
      </w:r>
      <w:r>
        <w:rPr>
          <w:rFonts w:ascii="宋体" w:hAnsi="宋体"/>
          <w:sz w:val="21"/>
          <w:szCs w:val="21"/>
        </w:rPr>
        <w:t>企业绿色转型驱动因素及作用机理研究</w:t>
      </w:r>
      <w:r>
        <w:rPr>
          <w:sz w:val="21"/>
          <w:szCs w:val="21"/>
        </w:rPr>
        <w:t>——</w:t>
      </w:r>
      <w:r>
        <w:rPr>
          <w:rFonts w:ascii="宋体" w:hAnsi="宋体"/>
          <w:sz w:val="21"/>
          <w:szCs w:val="21"/>
        </w:rPr>
        <w:t>跨层交互因素的整合分析框架[</w:t>
      </w:r>
      <w:r>
        <w:rPr>
          <w:sz w:val="21"/>
          <w:szCs w:val="21"/>
        </w:rPr>
        <w:t>J</w:t>
      </w:r>
      <w:r>
        <w:rPr>
          <w:rFonts w:ascii="宋体" w:hAnsi="宋体"/>
          <w:sz w:val="21"/>
          <w:szCs w:val="21"/>
        </w:rPr>
        <w:t>]</w:t>
      </w:r>
      <w:r>
        <w:rPr>
          <w:sz w:val="21"/>
          <w:szCs w:val="21"/>
        </w:rPr>
        <w:t>.</w:t>
      </w:r>
      <w:r>
        <w:rPr>
          <w:rFonts w:ascii="宋体" w:hAnsi="宋体"/>
          <w:sz w:val="21"/>
          <w:szCs w:val="21"/>
        </w:rPr>
        <w:t>管理现代化</w:t>
      </w:r>
      <w:r>
        <w:rPr>
          <w:sz w:val="21"/>
          <w:szCs w:val="21"/>
        </w:rPr>
        <w:t>,2020,40(02):67-70.</w:t>
      </w:r>
    </w:p>
    <w:p w14:paraId="42B299B7">
      <w:pPr>
        <w:spacing w:line="360" w:lineRule="exact"/>
        <w:ind w:left="525" w:hanging="525" w:hangingChars="250"/>
        <w:rPr>
          <w:sz w:val="21"/>
          <w:szCs w:val="21"/>
        </w:rPr>
      </w:pPr>
      <w:r>
        <w:rPr>
          <w:rFonts w:ascii="宋体" w:hAnsi="宋体"/>
          <w:sz w:val="21"/>
          <w:szCs w:val="21"/>
        </w:rPr>
        <w:t>[</w:t>
      </w:r>
      <w:r>
        <w:rPr>
          <w:sz w:val="21"/>
          <w:szCs w:val="21"/>
        </w:rPr>
        <w:t>1</w:t>
      </w:r>
      <w:r>
        <w:rPr>
          <w:rFonts w:hint="eastAsia"/>
          <w:sz w:val="21"/>
          <w:szCs w:val="21"/>
        </w:rPr>
        <w:t>6</w:t>
      </w:r>
      <w:r>
        <w:rPr>
          <w:rFonts w:ascii="宋体" w:hAnsi="宋体"/>
          <w:sz w:val="21"/>
          <w:szCs w:val="21"/>
        </w:rPr>
        <w:t>]</w:t>
      </w:r>
      <w:r>
        <w:rPr>
          <w:rFonts w:hint="eastAsia" w:ascii="宋体" w:hAnsi="宋体"/>
          <w:sz w:val="21"/>
          <w:szCs w:val="21"/>
        </w:rPr>
        <w:t xml:space="preserve"> </w:t>
      </w:r>
      <w:r>
        <w:rPr>
          <w:rFonts w:hint="eastAsia"/>
          <w:sz w:val="21"/>
          <w:szCs w:val="21"/>
        </w:rPr>
        <w:t>Janson A. Reaching for a sustainable, resilient urban future using the lens of ecosystem Services</w:t>
      </w:r>
      <w:r>
        <w:rPr>
          <w:rFonts w:ascii="宋体" w:hAnsi="宋体"/>
          <w:sz w:val="21"/>
          <w:szCs w:val="21"/>
        </w:rPr>
        <w:t>[</w:t>
      </w:r>
      <w:r>
        <w:rPr>
          <w:sz w:val="21"/>
          <w:szCs w:val="21"/>
        </w:rPr>
        <w:t>J</w:t>
      </w:r>
      <w:r>
        <w:rPr>
          <w:rFonts w:ascii="宋体" w:hAnsi="宋体"/>
          <w:sz w:val="21"/>
          <w:szCs w:val="21"/>
        </w:rPr>
        <w:t>]</w:t>
      </w:r>
      <w:r>
        <w:rPr>
          <w:rFonts w:hint="eastAsia"/>
          <w:sz w:val="21"/>
          <w:szCs w:val="21"/>
        </w:rPr>
        <w:t>.Ecological Economics,2013.86: 285-29.</w:t>
      </w:r>
    </w:p>
    <w:p w14:paraId="58BFE4C2">
      <w:pPr>
        <w:spacing w:line="360" w:lineRule="exact"/>
        <w:ind w:left="525" w:hanging="525" w:hangingChars="250"/>
        <w:rPr>
          <w:sz w:val="21"/>
          <w:szCs w:val="21"/>
        </w:rPr>
      </w:pPr>
    </w:p>
    <w:sectPr>
      <w:footerReference r:id="rId12"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0458532"/>
    </w:sdtPr>
    <w:sdtContent>
      <w:p w14:paraId="404443D5">
        <w:pPr>
          <w:pStyle w:val="13"/>
          <w:ind w:firstLine="360"/>
          <w:jc w:val="center"/>
        </w:pPr>
        <w:r>
          <w:fldChar w:fldCharType="begin"/>
        </w:r>
        <w:r>
          <w:instrText xml:space="preserve">PAGE   \* MERGEFORMAT</w:instrText>
        </w:r>
        <w:r>
          <w:fldChar w:fldCharType="separate"/>
        </w:r>
        <w:r>
          <w:rPr>
            <w:lang w:val="zh-CN"/>
          </w:rPr>
          <w:t>2</w:t>
        </w:r>
        <w:r>
          <w:fldChar w:fldCharType="end"/>
        </w:r>
      </w:p>
    </w:sdtContent>
  </w:sdt>
  <w:p w14:paraId="15EB1BC5">
    <w:pPr>
      <w:pStyle w:val="13"/>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AAB9F">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EB412">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8340610"/>
    </w:sdtPr>
    <w:sdtContent>
      <w:p w14:paraId="409E18FE">
        <w:pPr>
          <w:pStyle w:val="13"/>
          <w:ind w:firstLine="360"/>
          <w:jc w:val="center"/>
        </w:pPr>
        <w:r>
          <w:fldChar w:fldCharType="begin"/>
        </w:r>
        <w:r>
          <w:instrText xml:space="preserve">PAGE   \* MERGEFORMAT</w:instrText>
        </w:r>
        <w:r>
          <w:fldChar w:fldCharType="separate"/>
        </w:r>
        <w:r>
          <w:rPr>
            <w:lang w:val="zh-CN"/>
          </w:rPr>
          <w:t>2</w:t>
        </w:r>
        <w:r>
          <w:fldChar w:fldCharType="end"/>
        </w:r>
      </w:p>
    </w:sdtContent>
  </w:sdt>
  <w:p w14:paraId="0C318FD5">
    <w:pPr>
      <w:pStyle w:val="13"/>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25152">
    <w:pPr>
      <w:pStyle w:val="13"/>
      <w:ind w:firstLine="0" w:firstLineChars="0"/>
    </w:pPr>
    <w:r>
      <mc:AlternateContent>
        <mc:Choice Requires="wps">
          <w:drawing>
            <wp:anchor distT="0" distB="0" distL="114300" distR="114300" simplePos="0" relativeHeight="251659264" behindDoc="0" locked="0" layoutInCell="1" allowOverlap="1">
              <wp:simplePos x="0" y="0"/>
              <wp:positionH relativeFrom="margin">
                <wp:posOffset>2491740</wp:posOffset>
              </wp:positionH>
              <wp:positionV relativeFrom="paragraph">
                <wp:posOffset>1270</wp:posOffset>
              </wp:positionV>
              <wp:extent cx="441960" cy="251460"/>
              <wp:effectExtent l="0" t="0" r="15240" b="15240"/>
              <wp:wrapNone/>
              <wp:docPr id="21" name="文本框 21"/>
              <wp:cNvGraphicFramePr/>
              <a:graphic xmlns:a="http://schemas.openxmlformats.org/drawingml/2006/main">
                <a:graphicData uri="http://schemas.microsoft.com/office/word/2010/wordprocessingShape">
                  <wps:wsp>
                    <wps:cNvSpPr txBox="1"/>
                    <wps:spPr>
                      <a:xfrm>
                        <a:off x="0" y="0"/>
                        <a:ext cx="44196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89B8C">
                          <w:pPr>
                            <w:pStyle w:val="13"/>
                            <w:ind w:firstLine="360"/>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6.2pt;margin-top:0.1pt;height:19.8pt;width:34.8pt;mso-position-horizontal-relative:margin;z-index:251659264;mso-width-relative:page;mso-height-relative:page;" filled="f" stroked="f" coordsize="21600,21600" o:gfxdata="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aw259YAAAAHAQAADwAAAAAAAAABACAAAAAiAAAAZHJzL2Rvd25yZXYueG1sUEsB&#10;AhQAFAAAAAgAh07iQB6pK7cwAgAAVwQAAA4AAAAAAAAAAQAgAAAAJQEAAGRycy9lMm9Eb2MueG1s&#10;UEsFBgAAAAAGAAYAWQEAAMcFAAAAAA==&#10;">
              <v:fill on="f" focussize="0,0"/>
              <v:stroke on="f" weight="0.5pt"/>
              <v:imagedata o:title=""/>
              <o:lock v:ext="edit" aspectratio="f"/>
              <v:textbox inset="0mm,0mm,0mm,0mm">
                <w:txbxContent>
                  <w:p w14:paraId="53989B8C">
                    <w:pPr>
                      <w:pStyle w:val="13"/>
                      <w:ind w:firstLine="360"/>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p>
  </w:footnote>
  <w:footnote w:type="continuationSeparator" w:id="1">
    <w:p>
      <w:pPr>
        <w:spacing w:line="288"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E5664">
    <w:pPr>
      <w:pStyle w:val="1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CD6D1">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49180">
    <w:pPr>
      <w:pStyle w:val="14"/>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EB2035"/>
    <w:multiLevelType w:val="singleLevel"/>
    <w:tmpl w:val="3BEB203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1365"/>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Q1M7M0MTIzNrc0MTNR0lEKTi0uzszPAykwrAUA1U08xywAAAA="/>
    <w:docVar w:name="commondata" w:val="eyJoZGlkIjoiNDA4N2I4MTI2MjEyNzZhNTg5NmJjNTA5ZGZlYzZjY2IifQ=="/>
  </w:docVars>
  <w:rsids>
    <w:rsidRoot w:val="00356B57"/>
    <w:rsid w:val="0000172D"/>
    <w:rsid w:val="00004C42"/>
    <w:rsid w:val="00013A33"/>
    <w:rsid w:val="000144A3"/>
    <w:rsid w:val="00014A93"/>
    <w:rsid w:val="000204DE"/>
    <w:rsid w:val="00021A42"/>
    <w:rsid w:val="000228DF"/>
    <w:rsid w:val="000256B4"/>
    <w:rsid w:val="00025A0F"/>
    <w:rsid w:val="00032C07"/>
    <w:rsid w:val="00033C4F"/>
    <w:rsid w:val="00041916"/>
    <w:rsid w:val="00041BC7"/>
    <w:rsid w:val="00042EE9"/>
    <w:rsid w:val="0004720B"/>
    <w:rsid w:val="000479BF"/>
    <w:rsid w:val="0005087F"/>
    <w:rsid w:val="00051EB0"/>
    <w:rsid w:val="00051F44"/>
    <w:rsid w:val="00053816"/>
    <w:rsid w:val="00055A65"/>
    <w:rsid w:val="000576F0"/>
    <w:rsid w:val="000628BC"/>
    <w:rsid w:val="000633A5"/>
    <w:rsid w:val="00063B99"/>
    <w:rsid w:val="00066C82"/>
    <w:rsid w:val="0007082A"/>
    <w:rsid w:val="00070D72"/>
    <w:rsid w:val="000720F0"/>
    <w:rsid w:val="00074131"/>
    <w:rsid w:val="000751B8"/>
    <w:rsid w:val="000752E0"/>
    <w:rsid w:val="0007566F"/>
    <w:rsid w:val="00075C8E"/>
    <w:rsid w:val="00080B38"/>
    <w:rsid w:val="00082320"/>
    <w:rsid w:val="000860A5"/>
    <w:rsid w:val="00086B05"/>
    <w:rsid w:val="0009169D"/>
    <w:rsid w:val="000929F1"/>
    <w:rsid w:val="000942B6"/>
    <w:rsid w:val="000959A8"/>
    <w:rsid w:val="00095A19"/>
    <w:rsid w:val="000B02F3"/>
    <w:rsid w:val="000B0F2C"/>
    <w:rsid w:val="000B5004"/>
    <w:rsid w:val="000B6B4F"/>
    <w:rsid w:val="000C3149"/>
    <w:rsid w:val="000C36A3"/>
    <w:rsid w:val="000C645F"/>
    <w:rsid w:val="000C6465"/>
    <w:rsid w:val="000D11E4"/>
    <w:rsid w:val="000D32CE"/>
    <w:rsid w:val="000D6094"/>
    <w:rsid w:val="000E1B65"/>
    <w:rsid w:val="000E2468"/>
    <w:rsid w:val="000E296D"/>
    <w:rsid w:val="000E31E8"/>
    <w:rsid w:val="000E3870"/>
    <w:rsid w:val="000E46D5"/>
    <w:rsid w:val="000F67D8"/>
    <w:rsid w:val="000F769B"/>
    <w:rsid w:val="000F7EE2"/>
    <w:rsid w:val="00102FC2"/>
    <w:rsid w:val="0011275C"/>
    <w:rsid w:val="00112ED9"/>
    <w:rsid w:val="001157BC"/>
    <w:rsid w:val="00123127"/>
    <w:rsid w:val="001239BF"/>
    <w:rsid w:val="0012526B"/>
    <w:rsid w:val="001323AA"/>
    <w:rsid w:val="00132A37"/>
    <w:rsid w:val="0013333F"/>
    <w:rsid w:val="00134BD9"/>
    <w:rsid w:val="001360C7"/>
    <w:rsid w:val="00142CE9"/>
    <w:rsid w:val="00143DA4"/>
    <w:rsid w:val="00145BD2"/>
    <w:rsid w:val="00150A83"/>
    <w:rsid w:val="00151B5E"/>
    <w:rsid w:val="001548E0"/>
    <w:rsid w:val="00156C5F"/>
    <w:rsid w:val="00161F07"/>
    <w:rsid w:val="00161FCC"/>
    <w:rsid w:val="001626CB"/>
    <w:rsid w:val="001644B3"/>
    <w:rsid w:val="00171F9D"/>
    <w:rsid w:val="00172353"/>
    <w:rsid w:val="00173E6D"/>
    <w:rsid w:val="00174078"/>
    <w:rsid w:val="0017511A"/>
    <w:rsid w:val="001766CC"/>
    <w:rsid w:val="0018674A"/>
    <w:rsid w:val="00190050"/>
    <w:rsid w:val="00191828"/>
    <w:rsid w:val="001965B1"/>
    <w:rsid w:val="00197DFB"/>
    <w:rsid w:val="001A204E"/>
    <w:rsid w:val="001A2502"/>
    <w:rsid w:val="001A5C79"/>
    <w:rsid w:val="001B030E"/>
    <w:rsid w:val="001B056C"/>
    <w:rsid w:val="001B252C"/>
    <w:rsid w:val="001B552F"/>
    <w:rsid w:val="001C20CD"/>
    <w:rsid w:val="001D22E2"/>
    <w:rsid w:val="001D4574"/>
    <w:rsid w:val="001D7AF8"/>
    <w:rsid w:val="001E12F7"/>
    <w:rsid w:val="001F2F81"/>
    <w:rsid w:val="001F4CD8"/>
    <w:rsid w:val="001F4E89"/>
    <w:rsid w:val="001F695B"/>
    <w:rsid w:val="001F6E99"/>
    <w:rsid w:val="001F7C04"/>
    <w:rsid w:val="00202554"/>
    <w:rsid w:val="002041F1"/>
    <w:rsid w:val="002046C4"/>
    <w:rsid w:val="00205497"/>
    <w:rsid w:val="00212611"/>
    <w:rsid w:val="00220F79"/>
    <w:rsid w:val="00223759"/>
    <w:rsid w:val="00223F2F"/>
    <w:rsid w:val="0022462F"/>
    <w:rsid w:val="00225326"/>
    <w:rsid w:val="00230F04"/>
    <w:rsid w:val="002310D7"/>
    <w:rsid w:val="00231B55"/>
    <w:rsid w:val="002332B4"/>
    <w:rsid w:val="00241DCA"/>
    <w:rsid w:val="00241E85"/>
    <w:rsid w:val="0024219A"/>
    <w:rsid w:val="002429C6"/>
    <w:rsid w:val="00244E67"/>
    <w:rsid w:val="00245D11"/>
    <w:rsid w:val="00246106"/>
    <w:rsid w:val="002471AE"/>
    <w:rsid w:val="00247EE4"/>
    <w:rsid w:val="002502B3"/>
    <w:rsid w:val="00251BCD"/>
    <w:rsid w:val="00253C41"/>
    <w:rsid w:val="00257994"/>
    <w:rsid w:val="002646BF"/>
    <w:rsid w:val="00266C9E"/>
    <w:rsid w:val="002670AF"/>
    <w:rsid w:val="00272116"/>
    <w:rsid w:val="00272353"/>
    <w:rsid w:val="00273319"/>
    <w:rsid w:val="0027381E"/>
    <w:rsid w:val="00273F5E"/>
    <w:rsid w:val="00275ACD"/>
    <w:rsid w:val="00281351"/>
    <w:rsid w:val="00285455"/>
    <w:rsid w:val="0028557B"/>
    <w:rsid w:val="0028613A"/>
    <w:rsid w:val="00290B0B"/>
    <w:rsid w:val="002965DC"/>
    <w:rsid w:val="00297992"/>
    <w:rsid w:val="002A1B1D"/>
    <w:rsid w:val="002A1B38"/>
    <w:rsid w:val="002A3C6D"/>
    <w:rsid w:val="002A75A2"/>
    <w:rsid w:val="002A784D"/>
    <w:rsid w:val="002B25FD"/>
    <w:rsid w:val="002B4263"/>
    <w:rsid w:val="002C3DB9"/>
    <w:rsid w:val="002C4A51"/>
    <w:rsid w:val="002C4FBD"/>
    <w:rsid w:val="002C59D8"/>
    <w:rsid w:val="002D7C26"/>
    <w:rsid w:val="002E04D8"/>
    <w:rsid w:val="002E1AE6"/>
    <w:rsid w:val="002E21CD"/>
    <w:rsid w:val="002E49F6"/>
    <w:rsid w:val="002E731D"/>
    <w:rsid w:val="002E74FB"/>
    <w:rsid w:val="002F05D5"/>
    <w:rsid w:val="002F0D8E"/>
    <w:rsid w:val="002F5895"/>
    <w:rsid w:val="002F7935"/>
    <w:rsid w:val="00301786"/>
    <w:rsid w:val="003017A9"/>
    <w:rsid w:val="003027DB"/>
    <w:rsid w:val="003029EF"/>
    <w:rsid w:val="00304722"/>
    <w:rsid w:val="00304FFA"/>
    <w:rsid w:val="00307BB4"/>
    <w:rsid w:val="003101EB"/>
    <w:rsid w:val="00311945"/>
    <w:rsid w:val="00312D58"/>
    <w:rsid w:val="003134FA"/>
    <w:rsid w:val="0031373A"/>
    <w:rsid w:val="00320821"/>
    <w:rsid w:val="00321A73"/>
    <w:rsid w:val="0032309E"/>
    <w:rsid w:val="00323D4B"/>
    <w:rsid w:val="00324EF4"/>
    <w:rsid w:val="0032758F"/>
    <w:rsid w:val="0033241C"/>
    <w:rsid w:val="0033568B"/>
    <w:rsid w:val="003357D8"/>
    <w:rsid w:val="003439E7"/>
    <w:rsid w:val="00346270"/>
    <w:rsid w:val="003479E5"/>
    <w:rsid w:val="00350D66"/>
    <w:rsid w:val="00351C58"/>
    <w:rsid w:val="00351E93"/>
    <w:rsid w:val="003539F4"/>
    <w:rsid w:val="00353A35"/>
    <w:rsid w:val="00354982"/>
    <w:rsid w:val="003554FA"/>
    <w:rsid w:val="00356B57"/>
    <w:rsid w:val="003631A8"/>
    <w:rsid w:val="00364D3C"/>
    <w:rsid w:val="0036595C"/>
    <w:rsid w:val="00367606"/>
    <w:rsid w:val="00372434"/>
    <w:rsid w:val="003739BC"/>
    <w:rsid w:val="003765A6"/>
    <w:rsid w:val="003776B1"/>
    <w:rsid w:val="00380781"/>
    <w:rsid w:val="00382C24"/>
    <w:rsid w:val="003870EF"/>
    <w:rsid w:val="00394A8B"/>
    <w:rsid w:val="003A1FFA"/>
    <w:rsid w:val="003A2CA0"/>
    <w:rsid w:val="003A3A9A"/>
    <w:rsid w:val="003A5B3E"/>
    <w:rsid w:val="003A6093"/>
    <w:rsid w:val="003B0558"/>
    <w:rsid w:val="003B1FB1"/>
    <w:rsid w:val="003B2323"/>
    <w:rsid w:val="003B26D8"/>
    <w:rsid w:val="003B2B43"/>
    <w:rsid w:val="003B5A6A"/>
    <w:rsid w:val="003C0D47"/>
    <w:rsid w:val="003C2C55"/>
    <w:rsid w:val="003C456A"/>
    <w:rsid w:val="003C747B"/>
    <w:rsid w:val="003D0A06"/>
    <w:rsid w:val="003D0B94"/>
    <w:rsid w:val="003D14AF"/>
    <w:rsid w:val="003D574E"/>
    <w:rsid w:val="003D735D"/>
    <w:rsid w:val="003E126E"/>
    <w:rsid w:val="003E7542"/>
    <w:rsid w:val="003F02F2"/>
    <w:rsid w:val="003F254C"/>
    <w:rsid w:val="00400FC5"/>
    <w:rsid w:val="00403395"/>
    <w:rsid w:val="00412C98"/>
    <w:rsid w:val="00416858"/>
    <w:rsid w:val="00416D6C"/>
    <w:rsid w:val="00425C9B"/>
    <w:rsid w:val="0042635E"/>
    <w:rsid w:val="00433BC4"/>
    <w:rsid w:val="00434380"/>
    <w:rsid w:val="00434406"/>
    <w:rsid w:val="00435515"/>
    <w:rsid w:val="0043644F"/>
    <w:rsid w:val="00440D5B"/>
    <w:rsid w:val="00441A57"/>
    <w:rsid w:val="00444FE4"/>
    <w:rsid w:val="004456C7"/>
    <w:rsid w:val="004462B4"/>
    <w:rsid w:val="00447B5D"/>
    <w:rsid w:val="0045079B"/>
    <w:rsid w:val="00453421"/>
    <w:rsid w:val="00456DE7"/>
    <w:rsid w:val="00457790"/>
    <w:rsid w:val="004610E7"/>
    <w:rsid w:val="0046150F"/>
    <w:rsid w:val="004649E8"/>
    <w:rsid w:val="00471860"/>
    <w:rsid w:val="00472CD4"/>
    <w:rsid w:val="00473007"/>
    <w:rsid w:val="00475407"/>
    <w:rsid w:val="004837D5"/>
    <w:rsid w:val="00485AC1"/>
    <w:rsid w:val="0048600A"/>
    <w:rsid w:val="004860D9"/>
    <w:rsid w:val="00491066"/>
    <w:rsid w:val="00491E98"/>
    <w:rsid w:val="004A14FA"/>
    <w:rsid w:val="004A21A4"/>
    <w:rsid w:val="004B050B"/>
    <w:rsid w:val="004B06AA"/>
    <w:rsid w:val="004B4514"/>
    <w:rsid w:val="004B54CF"/>
    <w:rsid w:val="004B6946"/>
    <w:rsid w:val="004B7F50"/>
    <w:rsid w:val="004C202D"/>
    <w:rsid w:val="004C3AAA"/>
    <w:rsid w:val="004C6DF3"/>
    <w:rsid w:val="004D17D9"/>
    <w:rsid w:val="004D5FFB"/>
    <w:rsid w:val="004E1A0E"/>
    <w:rsid w:val="004E5BC0"/>
    <w:rsid w:val="004E6E44"/>
    <w:rsid w:val="004F2117"/>
    <w:rsid w:val="004F6812"/>
    <w:rsid w:val="004F7C65"/>
    <w:rsid w:val="0050396A"/>
    <w:rsid w:val="0050446C"/>
    <w:rsid w:val="0050553E"/>
    <w:rsid w:val="00505960"/>
    <w:rsid w:val="0050653A"/>
    <w:rsid w:val="0050780F"/>
    <w:rsid w:val="00516C1B"/>
    <w:rsid w:val="00520D15"/>
    <w:rsid w:val="005242F0"/>
    <w:rsid w:val="00537573"/>
    <w:rsid w:val="00537DA6"/>
    <w:rsid w:val="0054084C"/>
    <w:rsid w:val="0054210F"/>
    <w:rsid w:val="00546215"/>
    <w:rsid w:val="0054632B"/>
    <w:rsid w:val="0055107B"/>
    <w:rsid w:val="005527F7"/>
    <w:rsid w:val="005542D9"/>
    <w:rsid w:val="0055524C"/>
    <w:rsid w:val="00555CDC"/>
    <w:rsid w:val="00556C10"/>
    <w:rsid w:val="0056039C"/>
    <w:rsid w:val="00563951"/>
    <w:rsid w:val="00564E09"/>
    <w:rsid w:val="00574A50"/>
    <w:rsid w:val="00575971"/>
    <w:rsid w:val="00577061"/>
    <w:rsid w:val="005800AC"/>
    <w:rsid w:val="00580E76"/>
    <w:rsid w:val="0058212D"/>
    <w:rsid w:val="005824B5"/>
    <w:rsid w:val="00583969"/>
    <w:rsid w:val="005839E8"/>
    <w:rsid w:val="00583F2E"/>
    <w:rsid w:val="00584780"/>
    <w:rsid w:val="00585564"/>
    <w:rsid w:val="0058632A"/>
    <w:rsid w:val="00592F0A"/>
    <w:rsid w:val="0059555A"/>
    <w:rsid w:val="0059562E"/>
    <w:rsid w:val="0059740F"/>
    <w:rsid w:val="005A02F9"/>
    <w:rsid w:val="005A0AE2"/>
    <w:rsid w:val="005A5E0E"/>
    <w:rsid w:val="005B0AF5"/>
    <w:rsid w:val="005B0D80"/>
    <w:rsid w:val="005B0E45"/>
    <w:rsid w:val="005B1BD9"/>
    <w:rsid w:val="005B3F54"/>
    <w:rsid w:val="005C04C1"/>
    <w:rsid w:val="005C296B"/>
    <w:rsid w:val="005C3AF2"/>
    <w:rsid w:val="005D07E9"/>
    <w:rsid w:val="005D2411"/>
    <w:rsid w:val="005D2941"/>
    <w:rsid w:val="005D41DC"/>
    <w:rsid w:val="005D588A"/>
    <w:rsid w:val="005D5A6A"/>
    <w:rsid w:val="005D6D5F"/>
    <w:rsid w:val="005E1B10"/>
    <w:rsid w:val="005E315D"/>
    <w:rsid w:val="005E38E0"/>
    <w:rsid w:val="005F4FA7"/>
    <w:rsid w:val="006021D6"/>
    <w:rsid w:val="00602382"/>
    <w:rsid w:val="00602E38"/>
    <w:rsid w:val="006031A7"/>
    <w:rsid w:val="006039FB"/>
    <w:rsid w:val="00607AAB"/>
    <w:rsid w:val="00610EF8"/>
    <w:rsid w:val="00611302"/>
    <w:rsid w:val="00612B43"/>
    <w:rsid w:val="006135A6"/>
    <w:rsid w:val="00616DEB"/>
    <w:rsid w:val="00622654"/>
    <w:rsid w:val="006254B1"/>
    <w:rsid w:val="00626624"/>
    <w:rsid w:val="00626B74"/>
    <w:rsid w:val="0062711A"/>
    <w:rsid w:val="00632841"/>
    <w:rsid w:val="00634CC1"/>
    <w:rsid w:val="00637086"/>
    <w:rsid w:val="006401A8"/>
    <w:rsid w:val="00646AD8"/>
    <w:rsid w:val="006507D1"/>
    <w:rsid w:val="00651FAF"/>
    <w:rsid w:val="00653630"/>
    <w:rsid w:val="00653871"/>
    <w:rsid w:val="006540AA"/>
    <w:rsid w:val="00656AD6"/>
    <w:rsid w:val="00660977"/>
    <w:rsid w:val="00662939"/>
    <w:rsid w:val="00666CE4"/>
    <w:rsid w:val="0066740E"/>
    <w:rsid w:val="00671B09"/>
    <w:rsid w:val="00671E0C"/>
    <w:rsid w:val="00675C02"/>
    <w:rsid w:val="006762F8"/>
    <w:rsid w:val="00684801"/>
    <w:rsid w:val="006869DB"/>
    <w:rsid w:val="006875A1"/>
    <w:rsid w:val="00687A31"/>
    <w:rsid w:val="0069121D"/>
    <w:rsid w:val="006940C7"/>
    <w:rsid w:val="006A063B"/>
    <w:rsid w:val="006A1931"/>
    <w:rsid w:val="006A7E26"/>
    <w:rsid w:val="006B325A"/>
    <w:rsid w:val="006C0DEF"/>
    <w:rsid w:val="006C0EB0"/>
    <w:rsid w:val="006C2A51"/>
    <w:rsid w:val="006C6972"/>
    <w:rsid w:val="006C7A70"/>
    <w:rsid w:val="006D05E6"/>
    <w:rsid w:val="006D0F2D"/>
    <w:rsid w:val="006D1889"/>
    <w:rsid w:val="006D3463"/>
    <w:rsid w:val="006D3E5B"/>
    <w:rsid w:val="006D4D68"/>
    <w:rsid w:val="006D5D4B"/>
    <w:rsid w:val="006E08D7"/>
    <w:rsid w:val="006E11E7"/>
    <w:rsid w:val="006E2808"/>
    <w:rsid w:val="006E458D"/>
    <w:rsid w:val="006E56C2"/>
    <w:rsid w:val="006E7765"/>
    <w:rsid w:val="006F148A"/>
    <w:rsid w:val="006F34FA"/>
    <w:rsid w:val="006F4CB2"/>
    <w:rsid w:val="00701837"/>
    <w:rsid w:val="00701FB0"/>
    <w:rsid w:val="00705E64"/>
    <w:rsid w:val="00707E8E"/>
    <w:rsid w:val="00710A6E"/>
    <w:rsid w:val="00710FB3"/>
    <w:rsid w:val="0071305F"/>
    <w:rsid w:val="00713D4D"/>
    <w:rsid w:val="0071766C"/>
    <w:rsid w:val="007176B5"/>
    <w:rsid w:val="00720094"/>
    <w:rsid w:val="007245B3"/>
    <w:rsid w:val="00724B1D"/>
    <w:rsid w:val="007273D1"/>
    <w:rsid w:val="007335BB"/>
    <w:rsid w:val="00733F61"/>
    <w:rsid w:val="007357DB"/>
    <w:rsid w:val="0073757E"/>
    <w:rsid w:val="0074499D"/>
    <w:rsid w:val="007456B3"/>
    <w:rsid w:val="0075383A"/>
    <w:rsid w:val="00754644"/>
    <w:rsid w:val="007549F7"/>
    <w:rsid w:val="0075678E"/>
    <w:rsid w:val="0076191E"/>
    <w:rsid w:val="0076343E"/>
    <w:rsid w:val="00765544"/>
    <w:rsid w:val="00766A48"/>
    <w:rsid w:val="007673BD"/>
    <w:rsid w:val="007739D7"/>
    <w:rsid w:val="007779C6"/>
    <w:rsid w:val="00777EE2"/>
    <w:rsid w:val="007836D9"/>
    <w:rsid w:val="00783F3C"/>
    <w:rsid w:val="007847A2"/>
    <w:rsid w:val="0078560F"/>
    <w:rsid w:val="007865A1"/>
    <w:rsid w:val="007901A8"/>
    <w:rsid w:val="007901C6"/>
    <w:rsid w:val="007907DE"/>
    <w:rsid w:val="00793A83"/>
    <w:rsid w:val="007A10DB"/>
    <w:rsid w:val="007A2387"/>
    <w:rsid w:val="007A3DF0"/>
    <w:rsid w:val="007A5CF5"/>
    <w:rsid w:val="007B0325"/>
    <w:rsid w:val="007B0AD4"/>
    <w:rsid w:val="007B40F3"/>
    <w:rsid w:val="007B550E"/>
    <w:rsid w:val="007B5D75"/>
    <w:rsid w:val="007C11AC"/>
    <w:rsid w:val="007C3E50"/>
    <w:rsid w:val="007C419D"/>
    <w:rsid w:val="007C7CBA"/>
    <w:rsid w:val="007D3F45"/>
    <w:rsid w:val="007D5FFF"/>
    <w:rsid w:val="007D660E"/>
    <w:rsid w:val="007E44E0"/>
    <w:rsid w:val="007E4814"/>
    <w:rsid w:val="007E57E0"/>
    <w:rsid w:val="0080106A"/>
    <w:rsid w:val="00801D39"/>
    <w:rsid w:val="00803B6A"/>
    <w:rsid w:val="008042D3"/>
    <w:rsid w:val="00810A8E"/>
    <w:rsid w:val="00811E39"/>
    <w:rsid w:val="008139B2"/>
    <w:rsid w:val="008142DB"/>
    <w:rsid w:val="008223E7"/>
    <w:rsid w:val="00825D7D"/>
    <w:rsid w:val="00826792"/>
    <w:rsid w:val="00827F94"/>
    <w:rsid w:val="00830F8D"/>
    <w:rsid w:val="00831388"/>
    <w:rsid w:val="00834BBC"/>
    <w:rsid w:val="00835AC9"/>
    <w:rsid w:val="00837293"/>
    <w:rsid w:val="00837A99"/>
    <w:rsid w:val="00837C09"/>
    <w:rsid w:val="008448FE"/>
    <w:rsid w:val="00845C08"/>
    <w:rsid w:val="0085047A"/>
    <w:rsid w:val="008533DA"/>
    <w:rsid w:val="0086110E"/>
    <w:rsid w:val="00864C69"/>
    <w:rsid w:val="00867687"/>
    <w:rsid w:val="00870F86"/>
    <w:rsid w:val="00871433"/>
    <w:rsid w:val="00872589"/>
    <w:rsid w:val="008728E7"/>
    <w:rsid w:val="0087659E"/>
    <w:rsid w:val="00881F38"/>
    <w:rsid w:val="00885098"/>
    <w:rsid w:val="008858ED"/>
    <w:rsid w:val="008859BC"/>
    <w:rsid w:val="00887771"/>
    <w:rsid w:val="008907F9"/>
    <w:rsid w:val="008939ED"/>
    <w:rsid w:val="00895CDD"/>
    <w:rsid w:val="008962C2"/>
    <w:rsid w:val="00897534"/>
    <w:rsid w:val="008A036F"/>
    <w:rsid w:val="008A05B9"/>
    <w:rsid w:val="008A2A25"/>
    <w:rsid w:val="008A3133"/>
    <w:rsid w:val="008A6B43"/>
    <w:rsid w:val="008A7D71"/>
    <w:rsid w:val="008B2D58"/>
    <w:rsid w:val="008B53FB"/>
    <w:rsid w:val="008C3BCA"/>
    <w:rsid w:val="008C3DC1"/>
    <w:rsid w:val="008C6EFA"/>
    <w:rsid w:val="008D3DE2"/>
    <w:rsid w:val="008D6755"/>
    <w:rsid w:val="008D7696"/>
    <w:rsid w:val="008E197E"/>
    <w:rsid w:val="008E401B"/>
    <w:rsid w:val="008E46B1"/>
    <w:rsid w:val="008E49EC"/>
    <w:rsid w:val="008E4C8D"/>
    <w:rsid w:val="008E548C"/>
    <w:rsid w:val="008E5969"/>
    <w:rsid w:val="008E5C3D"/>
    <w:rsid w:val="008E6380"/>
    <w:rsid w:val="008F0261"/>
    <w:rsid w:val="008F241C"/>
    <w:rsid w:val="008F437E"/>
    <w:rsid w:val="00900932"/>
    <w:rsid w:val="009037B2"/>
    <w:rsid w:val="00916C82"/>
    <w:rsid w:val="00924167"/>
    <w:rsid w:val="00925181"/>
    <w:rsid w:val="00930595"/>
    <w:rsid w:val="00932FC3"/>
    <w:rsid w:val="00942BAD"/>
    <w:rsid w:val="009450CD"/>
    <w:rsid w:val="00952CD7"/>
    <w:rsid w:val="00955131"/>
    <w:rsid w:val="00957E72"/>
    <w:rsid w:val="00962402"/>
    <w:rsid w:val="00966124"/>
    <w:rsid w:val="00967D02"/>
    <w:rsid w:val="00973DE0"/>
    <w:rsid w:val="0097710E"/>
    <w:rsid w:val="009858A4"/>
    <w:rsid w:val="009858B4"/>
    <w:rsid w:val="00987056"/>
    <w:rsid w:val="00991E77"/>
    <w:rsid w:val="009A0A0F"/>
    <w:rsid w:val="009A1614"/>
    <w:rsid w:val="009A1EBA"/>
    <w:rsid w:val="009A4CDD"/>
    <w:rsid w:val="009A5984"/>
    <w:rsid w:val="009A7090"/>
    <w:rsid w:val="009A7D25"/>
    <w:rsid w:val="009B1864"/>
    <w:rsid w:val="009B1EEC"/>
    <w:rsid w:val="009B20AC"/>
    <w:rsid w:val="009B4615"/>
    <w:rsid w:val="009B4DEF"/>
    <w:rsid w:val="009B5B45"/>
    <w:rsid w:val="009C28A0"/>
    <w:rsid w:val="009C5217"/>
    <w:rsid w:val="009C6149"/>
    <w:rsid w:val="009D16D3"/>
    <w:rsid w:val="009D4616"/>
    <w:rsid w:val="009D6113"/>
    <w:rsid w:val="009E0C83"/>
    <w:rsid w:val="009E0F5B"/>
    <w:rsid w:val="009E6F3F"/>
    <w:rsid w:val="009F5526"/>
    <w:rsid w:val="00A014C5"/>
    <w:rsid w:val="00A03239"/>
    <w:rsid w:val="00A05DF7"/>
    <w:rsid w:val="00A062B2"/>
    <w:rsid w:val="00A15851"/>
    <w:rsid w:val="00A20947"/>
    <w:rsid w:val="00A236B4"/>
    <w:rsid w:val="00A24BD6"/>
    <w:rsid w:val="00A25FE3"/>
    <w:rsid w:val="00A37801"/>
    <w:rsid w:val="00A37FDD"/>
    <w:rsid w:val="00A40B05"/>
    <w:rsid w:val="00A42F64"/>
    <w:rsid w:val="00A45361"/>
    <w:rsid w:val="00A47204"/>
    <w:rsid w:val="00A54C6B"/>
    <w:rsid w:val="00A558D7"/>
    <w:rsid w:val="00A5734C"/>
    <w:rsid w:val="00A653A2"/>
    <w:rsid w:val="00A65674"/>
    <w:rsid w:val="00A656B6"/>
    <w:rsid w:val="00A65CE7"/>
    <w:rsid w:val="00A7002F"/>
    <w:rsid w:val="00A71990"/>
    <w:rsid w:val="00A76F54"/>
    <w:rsid w:val="00A8150D"/>
    <w:rsid w:val="00A82375"/>
    <w:rsid w:val="00A82CB5"/>
    <w:rsid w:val="00A8395E"/>
    <w:rsid w:val="00A84549"/>
    <w:rsid w:val="00A85FB2"/>
    <w:rsid w:val="00A910A1"/>
    <w:rsid w:val="00A96FFB"/>
    <w:rsid w:val="00AA4FD1"/>
    <w:rsid w:val="00AA5ACA"/>
    <w:rsid w:val="00AA75F5"/>
    <w:rsid w:val="00AC0191"/>
    <w:rsid w:val="00AC249F"/>
    <w:rsid w:val="00AC3FB0"/>
    <w:rsid w:val="00AC431C"/>
    <w:rsid w:val="00AD0A58"/>
    <w:rsid w:val="00AD144A"/>
    <w:rsid w:val="00AD419E"/>
    <w:rsid w:val="00AE5897"/>
    <w:rsid w:val="00AE7544"/>
    <w:rsid w:val="00AF3960"/>
    <w:rsid w:val="00AF3AF7"/>
    <w:rsid w:val="00B01D28"/>
    <w:rsid w:val="00B02A8E"/>
    <w:rsid w:val="00B052E8"/>
    <w:rsid w:val="00B0646C"/>
    <w:rsid w:val="00B06C24"/>
    <w:rsid w:val="00B07283"/>
    <w:rsid w:val="00B1029B"/>
    <w:rsid w:val="00B12E88"/>
    <w:rsid w:val="00B1425F"/>
    <w:rsid w:val="00B14924"/>
    <w:rsid w:val="00B1511B"/>
    <w:rsid w:val="00B21281"/>
    <w:rsid w:val="00B2135C"/>
    <w:rsid w:val="00B3267E"/>
    <w:rsid w:val="00B332E0"/>
    <w:rsid w:val="00B3424B"/>
    <w:rsid w:val="00B34329"/>
    <w:rsid w:val="00B34B1E"/>
    <w:rsid w:val="00B35B3C"/>
    <w:rsid w:val="00B405E2"/>
    <w:rsid w:val="00B41FEA"/>
    <w:rsid w:val="00B47044"/>
    <w:rsid w:val="00B47D57"/>
    <w:rsid w:val="00B56FDD"/>
    <w:rsid w:val="00B60045"/>
    <w:rsid w:val="00B6046E"/>
    <w:rsid w:val="00B62CE2"/>
    <w:rsid w:val="00B6491C"/>
    <w:rsid w:val="00B64B58"/>
    <w:rsid w:val="00B65E4E"/>
    <w:rsid w:val="00B65EEC"/>
    <w:rsid w:val="00B66DDF"/>
    <w:rsid w:val="00B70F41"/>
    <w:rsid w:val="00B7146D"/>
    <w:rsid w:val="00B7213A"/>
    <w:rsid w:val="00B728AF"/>
    <w:rsid w:val="00B7385C"/>
    <w:rsid w:val="00B811A7"/>
    <w:rsid w:val="00B825D7"/>
    <w:rsid w:val="00B83C76"/>
    <w:rsid w:val="00B840A2"/>
    <w:rsid w:val="00B90A7B"/>
    <w:rsid w:val="00B90B74"/>
    <w:rsid w:val="00B95C7D"/>
    <w:rsid w:val="00BB122C"/>
    <w:rsid w:val="00BB2924"/>
    <w:rsid w:val="00BB4B96"/>
    <w:rsid w:val="00BB5465"/>
    <w:rsid w:val="00BC0A15"/>
    <w:rsid w:val="00BC1697"/>
    <w:rsid w:val="00BC26A5"/>
    <w:rsid w:val="00BC5250"/>
    <w:rsid w:val="00BD04C8"/>
    <w:rsid w:val="00BD414C"/>
    <w:rsid w:val="00BD4792"/>
    <w:rsid w:val="00BD5E74"/>
    <w:rsid w:val="00BE11D8"/>
    <w:rsid w:val="00BE2416"/>
    <w:rsid w:val="00BE2522"/>
    <w:rsid w:val="00BE4102"/>
    <w:rsid w:val="00BE4404"/>
    <w:rsid w:val="00BE47EA"/>
    <w:rsid w:val="00BE7A4D"/>
    <w:rsid w:val="00BF24EE"/>
    <w:rsid w:val="00BF32B2"/>
    <w:rsid w:val="00BF381C"/>
    <w:rsid w:val="00BF6093"/>
    <w:rsid w:val="00C03964"/>
    <w:rsid w:val="00C055BE"/>
    <w:rsid w:val="00C06040"/>
    <w:rsid w:val="00C10FD6"/>
    <w:rsid w:val="00C205D6"/>
    <w:rsid w:val="00C21849"/>
    <w:rsid w:val="00C221CB"/>
    <w:rsid w:val="00C228DE"/>
    <w:rsid w:val="00C26BF0"/>
    <w:rsid w:val="00C33407"/>
    <w:rsid w:val="00C33DDB"/>
    <w:rsid w:val="00C3418F"/>
    <w:rsid w:val="00C4004E"/>
    <w:rsid w:val="00C412BA"/>
    <w:rsid w:val="00C42B84"/>
    <w:rsid w:val="00C52995"/>
    <w:rsid w:val="00C54D8A"/>
    <w:rsid w:val="00C5564A"/>
    <w:rsid w:val="00C55958"/>
    <w:rsid w:val="00C56120"/>
    <w:rsid w:val="00C569FB"/>
    <w:rsid w:val="00C61CF6"/>
    <w:rsid w:val="00C6324C"/>
    <w:rsid w:val="00C632E4"/>
    <w:rsid w:val="00C64A19"/>
    <w:rsid w:val="00C676C1"/>
    <w:rsid w:val="00C714BE"/>
    <w:rsid w:val="00C72826"/>
    <w:rsid w:val="00C76160"/>
    <w:rsid w:val="00C8264F"/>
    <w:rsid w:val="00C87EB9"/>
    <w:rsid w:val="00C90423"/>
    <w:rsid w:val="00C930CD"/>
    <w:rsid w:val="00C9323A"/>
    <w:rsid w:val="00C943EA"/>
    <w:rsid w:val="00C97633"/>
    <w:rsid w:val="00CA2149"/>
    <w:rsid w:val="00CA6A0B"/>
    <w:rsid w:val="00CA7573"/>
    <w:rsid w:val="00CB05AD"/>
    <w:rsid w:val="00CB0ED1"/>
    <w:rsid w:val="00CB307F"/>
    <w:rsid w:val="00CB3AB4"/>
    <w:rsid w:val="00CC0A1F"/>
    <w:rsid w:val="00CC0EF6"/>
    <w:rsid w:val="00CC2F1F"/>
    <w:rsid w:val="00CC430C"/>
    <w:rsid w:val="00CC545D"/>
    <w:rsid w:val="00CC57E4"/>
    <w:rsid w:val="00CC6748"/>
    <w:rsid w:val="00CC79D3"/>
    <w:rsid w:val="00CC7F95"/>
    <w:rsid w:val="00CD0366"/>
    <w:rsid w:val="00CE0932"/>
    <w:rsid w:val="00CE48FA"/>
    <w:rsid w:val="00CF12DE"/>
    <w:rsid w:val="00CF1714"/>
    <w:rsid w:val="00CF711F"/>
    <w:rsid w:val="00D01DE6"/>
    <w:rsid w:val="00D03D39"/>
    <w:rsid w:val="00D045A8"/>
    <w:rsid w:val="00D04A0E"/>
    <w:rsid w:val="00D06D62"/>
    <w:rsid w:val="00D115BD"/>
    <w:rsid w:val="00D13D45"/>
    <w:rsid w:val="00D14936"/>
    <w:rsid w:val="00D213DC"/>
    <w:rsid w:val="00D23234"/>
    <w:rsid w:val="00D273B6"/>
    <w:rsid w:val="00D31353"/>
    <w:rsid w:val="00D35F77"/>
    <w:rsid w:val="00D37D84"/>
    <w:rsid w:val="00D40F6C"/>
    <w:rsid w:val="00D4113B"/>
    <w:rsid w:val="00D4565A"/>
    <w:rsid w:val="00D46ABF"/>
    <w:rsid w:val="00D51E20"/>
    <w:rsid w:val="00D53FF4"/>
    <w:rsid w:val="00D60FF9"/>
    <w:rsid w:val="00D6237A"/>
    <w:rsid w:val="00D64116"/>
    <w:rsid w:val="00D65DDB"/>
    <w:rsid w:val="00D707C1"/>
    <w:rsid w:val="00D71FF5"/>
    <w:rsid w:val="00D73168"/>
    <w:rsid w:val="00D73CFD"/>
    <w:rsid w:val="00D744BA"/>
    <w:rsid w:val="00D81168"/>
    <w:rsid w:val="00D83462"/>
    <w:rsid w:val="00D86E02"/>
    <w:rsid w:val="00D87130"/>
    <w:rsid w:val="00D903EC"/>
    <w:rsid w:val="00D93AA6"/>
    <w:rsid w:val="00D940CC"/>
    <w:rsid w:val="00D960D9"/>
    <w:rsid w:val="00DA0C8A"/>
    <w:rsid w:val="00DA148C"/>
    <w:rsid w:val="00DA39AF"/>
    <w:rsid w:val="00DA46A7"/>
    <w:rsid w:val="00DA4B39"/>
    <w:rsid w:val="00DB17CD"/>
    <w:rsid w:val="00DB2ECE"/>
    <w:rsid w:val="00DB39D8"/>
    <w:rsid w:val="00DB6432"/>
    <w:rsid w:val="00DB68D4"/>
    <w:rsid w:val="00DC0CC2"/>
    <w:rsid w:val="00DC1173"/>
    <w:rsid w:val="00DC19C9"/>
    <w:rsid w:val="00DC2258"/>
    <w:rsid w:val="00DC31B4"/>
    <w:rsid w:val="00DC6858"/>
    <w:rsid w:val="00DC740B"/>
    <w:rsid w:val="00DC79B8"/>
    <w:rsid w:val="00DD167D"/>
    <w:rsid w:val="00DD4B26"/>
    <w:rsid w:val="00DD6FC3"/>
    <w:rsid w:val="00DE03BF"/>
    <w:rsid w:val="00DE0518"/>
    <w:rsid w:val="00DE18D3"/>
    <w:rsid w:val="00DE2B22"/>
    <w:rsid w:val="00DE3595"/>
    <w:rsid w:val="00DE50B8"/>
    <w:rsid w:val="00DE55B9"/>
    <w:rsid w:val="00DF3AF2"/>
    <w:rsid w:val="00E02966"/>
    <w:rsid w:val="00E11266"/>
    <w:rsid w:val="00E1350F"/>
    <w:rsid w:val="00E15F2A"/>
    <w:rsid w:val="00E1640D"/>
    <w:rsid w:val="00E22389"/>
    <w:rsid w:val="00E244F3"/>
    <w:rsid w:val="00E25CF6"/>
    <w:rsid w:val="00E25E81"/>
    <w:rsid w:val="00E27089"/>
    <w:rsid w:val="00E27393"/>
    <w:rsid w:val="00E31FF2"/>
    <w:rsid w:val="00E32155"/>
    <w:rsid w:val="00E36869"/>
    <w:rsid w:val="00E3713F"/>
    <w:rsid w:val="00E42F4D"/>
    <w:rsid w:val="00E45F4E"/>
    <w:rsid w:val="00E46252"/>
    <w:rsid w:val="00E56821"/>
    <w:rsid w:val="00E57338"/>
    <w:rsid w:val="00E576E7"/>
    <w:rsid w:val="00E61372"/>
    <w:rsid w:val="00E61AAC"/>
    <w:rsid w:val="00E655B4"/>
    <w:rsid w:val="00E72C3D"/>
    <w:rsid w:val="00E73BD7"/>
    <w:rsid w:val="00E86E3D"/>
    <w:rsid w:val="00E9018D"/>
    <w:rsid w:val="00E909C5"/>
    <w:rsid w:val="00E9276D"/>
    <w:rsid w:val="00E94633"/>
    <w:rsid w:val="00E94CE2"/>
    <w:rsid w:val="00E95CB1"/>
    <w:rsid w:val="00E97711"/>
    <w:rsid w:val="00EA0285"/>
    <w:rsid w:val="00EA2048"/>
    <w:rsid w:val="00EA497C"/>
    <w:rsid w:val="00EA55F9"/>
    <w:rsid w:val="00EA6746"/>
    <w:rsid w:val="00EA7198"/>
    <w:rsid w:val="00EB4757"/>
    <w:rsid w:val="00EB6F1C"/>
    <w:rsid w:val="00EC080B"/>
    <w:rsid w:val="00EC535C"/>
    <w:rsid w:val="00ED27AC"/>
    <w:rsid w:val="00ED4EE6"/>
    <w:rsid w:val="00ED60C4"/>
    <w:rsid w:val="00EE1C74"/>
    <w:rsid w:val="00EE2C99"/>
    <w:rsid w:val="00EE5D5F"/>
    <w:rsid w:val="00EE64C1"/>
    <w:rsid w:val="00EF34CD"/>
    <w:rsid w:val="00EF3D9A"/>
    <w:rsid w:val="00EF4833"/>
    <w:rsid w:val="00EF55E1"/>
    <w:rsid w:val="00F02ED8"/>
    <w:rsid w:val="00F03730"/>
    <w:rsid w:val="00F04993"/>
    <w:rsid w:val="00F04A88"/>
    <w:rsid w:val="00F062A5"/>
    <w:rsid w:val="00F06D2B"/>
    <w:rsid w:val="00F11DA7"/>
    <w:rsid w:val="00F1357B"/>
    <w:rsid w:val="00F1751B"/>
    <w:rsid w:val="00F17C52"/>
    <w:rsid w:val="00F21376"/>
    <w:rsid w:val="00F2669C"/>
    <w:rsid w:val="00F31146"/>
    <w:rsid w:val="00F31494"/>
    <w:rsid w:val="00F31B68"/>
    <w:rsid w:val="00F31CAF"/>
    <w:rsid w:val="00F3239C"/>
    <w:rsid w:val="00F3794F"/>
    <w:rsid w:val="00F42025"/>
    <w:rsid w:val="00F42901"/>
    <w:rsid w:val="00F4309F"/>
    <w:rsid w:val="00F44A8D"/>
    <w:rsid w:val="00F458A6"/>
    <w:rsid w:val="00F45F90"/>
    <w:rsid w:val="00F51198"/>
    <w:rsid w:val="00F56D5B"/>
    <w:rsid w:val="00F5775B"/>
    <w:rsid w:val="00F60126"/>
    <w:rsid w:val="00F70547"/>
    <w:rsid w:val="00F7135C"/>
    <w:rsid w:val="00F751DC"/>
    <w:rsid w:val="00F76CB2"/>
    <w:rsid w:val="00F80287"/>
    <w:rsid w:val="00F825F4"/>
    <w:rsid w:val="00F913F6"/>
    <w:rsid w:val="00F95850"/>
    <w:rsid w:val="00F96260"/>
    <w:rsid w:val="00F962E6"/>
    <w:rsid w:val="00F9651A"/>
    <w:rsid w:val="00FA0B33"/>
    <w:rsid w:val="00FA2004"/>
    <w:rsid w:val="00FA6CFE"/>
    <w:rsid w:val="00FA6FE8"/>
    <w:rsid w:val="00FB540A"/>
    <w:rsid w:val="00FB5D99"/>
    <w:rsid w:val="00FB5FF9"/>
    <w:rsid w:val="00FC1127"/>
    <w:rsid w:val="00FC2C15"/>
    <w:rsid w:val="00FD018E"/>
    <w:rsid w:val="00FD2177"/>
    <w:rsid w:val="00FE062C"/>
    <w:rsid w:val="00FE0678"/>
    <w:rsid w:val="00FE121C"/>
    <w:rsid w:val="00FE427E"/>
    <w:rsid w:val="00FF0775"/>
    <w:rsid w:val="00FF107E"/>
    <w:rsid w:val="00FF40E7"/>
    <w:rsid w:val="00FF4B90"/>
    <w:rsid w:val="00FF5F8B"/>
    <w:rsid w:val="00FF6720"/>
    <w:rsid w:val="00FF7EE2"/>
    <w:rsid w:val="01B446F6"/>
    <w:rsid w:val="01D1219F"/>
    <w:rsid w:val="02295517"/>
    <w:rsid w:val="02C96DBC"/>
    <w:rsid w:val="02CE3596"/>
    <w:rsid w:val="0316033F"/>
    <w:rsid w:val="03256933"/>
    <w:rsid w:val="03330D99"/>
    <w:rsid w:val="038F1B92"/>
    <w:rsid w:val="03D05E86"/>
    <w:rsid w:val="0486646D"/>
    <w:rsid w:val="048C3708"/>
    <w:rsid w:val="054F4BC3"/>
    <w:rsid w:val="055C0168"/>
    <w:rsid w:val="055C0EF2"/>
    <w:rsid w:val="0577196F"/>
    <w:rsid w:val="05BF5614"/>
    <w:rsid w:val="05F57389"/>
    <w:rsid w:val="061600D3"/>
    <w:rsid w:val="06FC2DC7"/>
    <w:rsid w:val="073708F0"/>
    <w:rsid w:val="073F4B3C"/>
    <w:rsid w:val="07510DA4"/>
    <w:rsid w:val="077B7867"/>
    <w:rsid w:val="07AE7B96"/>
    <w:rsid w:val="07ED285A"/>
    <w:rsid w:val="07F920A1"/>
    <w:rsid w:val="080A5EBF"/>
    <w:rsid w:val="0825549A"/>
    <w:rsid w:val="08327D56"/>
    <w:rsid w:val="084F5672"/>
    <w:rsid w:val="085A06A2"/>
    <w:rsid w:val="08DA4461"/>
    <w:rsid w:val="08E16B89"/>
    <w:rsid w:val="09404325"/>
    <w:rsid w:val="09737586"/>
    <w:rsid w:val="0988465A"/>
    <w:rsid w:val="099948FD"/>
    <w:rsid w:val="09E963BD"/>
    <w:rsid w:val="0A050710"/>
    <w:rsid w:val="0A5B18D9"/>
    <w:rsid w:val="0A632E3C"/>
    <w:rsid w:val="0A64146A"/>
    <w:rsid w:val="0B1E3BD8"/>
    <w:rsid w:val="0BBA4FFF"/>
    <w:rsid w:val="0BD22349"/>
    <w:rsid w:val="0BE831B5"/>
    <w:rsid w:val="0C27479D"/>
    <w:rsid w:val="0C8E2E40"/>
    <w:rsid w:val="0E0367E9"/>
    <w:rsid w:val="0E4D6231"/>
    <w:rsid w:val="0F5C08A7"/>
    <w:rsid w:val="0F707EAE"/>
    <w:rsid w:val="0F8045B8"/>
    <w:rsid w:val="0F8A4055"/>
    <w:rsid w:val="110A4FFF"/>
    <w:rsid w:val="1144541B"/>
    <w:rsid w:val="12862716"/>
    <w:rsid w:val="12D25B9D"/>
    <w:rsid w:val="135D0C5C"/>
    <w:rsid w:val="13671C3B"/>
    <w:rsid w:val="13A94B59"/>
    <w:rsid w:val="14004C93"/>
    <w:rsid w:val="14737DC2"/>
    <w:rsid w:val="147B0BD3"/>
    <w:rsid w:val="14B21ED2"/>
    <w:rsid w:val="14B27262"/>
    <w:rsid w:val="14F44CB0"/>
    <w:rsid w:val="15017AD0"/>
    <w:rsid w:val="151718EE"/>
    <w:rsid w:val="15263447"/>
    <w:rsid w:val="15B57017"/>
    <w:rsid w:val="15EF2F8F"/>
    <w:rsid w:val="15FD3F96"/>
    <w:rsid w:val="162C2535"/>
    <w:rsid w:val="163804CF"/>
    <w:rsid w:val="16A232FB"/>
    <w:rsid w:val="175D62A1"/>
    <w:rsid w:val="1763479D"/>
    <w:rsid w:val="18137355"/>
    <w:rsid w:val="184C63F2"/>
    <w:rsid w:val="195A46A1"/>
    <w:rsid w:val="1981715C"/>
    <w:rsid w:val="1A4E695B"/>
    <w:rsid w:val="1A50687F"/>
    <w:rsid w:val="1A5905CD"/>
    <w:rsid w:val="1ABE69EA"/>
    <w:rsid w:val="1AE31567"/>
    <w:rsid w:val="1AE9320B"/>
    <w:rsid w:val="1BAF7FB0"/>
    <w:rsid w:val="1C8B1A0F"/>
    <w:rsid w:val="1C961170"/>
    <w:rsid w:val="1CA01F27"/>
    <w:rsid w:val="1DF4775D"/>
    <w:rsid w:val="1E242829"/>
    <w:rsid w:val="1E287305"/>
    <w:rsid w:val="1EDE577E"/>
    <w:rsid w:val="1F281DCF"/>
    <w:rsid w:val="1F395480"/>
    <w:rsid w:val="1F420707"/>
    <w:rsid w:val="1F9D0023"/>
    <w:rsid w:val="1FFA7152"/>
    <w:rsid w:val="20396F33"/>
    <w:rsid w:val="20711CD8"/>
    <w:rsid w:val="20725304"/>
    <w:rsid w:val="209440A5"/>
    <w:rsid w:val="21303941"/>
    <w:rsid w:val="21845A3B"/>
    <w:rsid w:val="218E640B"/>
    <w:rsid w:val="21AC2632"/>
    <w:rsid w:val="21D75F95"/>
    <w:rsid w:val="223E67BD"/>
    <w:rsid w:val="22AE53CD"/>
    <w:rsid w:val="22CE68F5"/>
    <w:rsid w:val="22DD3655"/>
    <w:rsid w:val="234F7BB3"/>
    <w:rsid w:val="239F0627"/>
    <w:rsid w:val="23DC0C9A"/>
    <w:rsid w:val="23E3324C"/>
    <w:rsid w:val="23F724F4"/>
    <w:rsid w:val="24610A84"/>
    <w:rsid w:val="247F2A80"/>
    <w:rsid w:val="24967F5F"/>
    <w:rsid w:val="24B16B47"/>
    <w:rsid w:val="25D1415D"/>
    <w:rsid w:val="265E5821"/>
    <w:rsid w:val="267602A0"/>
    <w:rsid w:val="26802C75"/>
    <w:rsid w:val="271B576B"/>
    <w:rsid w:val="27ED6457"/>
    <w:rsid w:val="28D31CDC"/>
    <w:rsid w:val="29095C10"/>
    <w:rsid w:val="293B7327"/>
    <w:rsid w:val="297445E7"/>
    <w:rsid w:val="29910CF5"/>
    <w:rsid w:val="2A111E36"/>
    <w:rsid w:val="2A3E6AA9"/>
    <w:rsid w:val="2A5155A0"/>
    <w:rsid w:val="2A524FC5"/>
    <w:rsid w:val="2AB12480"/>
    <w:rsid w:val="2B215948"/>
    <w:rsid w:val="2B5420F3"/>
    <w:rsid w:val="2B7D44B3"/>
    <w:rsid w:val="2BDB0D5F"/>
    <w:rsid w:val="2BF67536"/>
    <w:rsid w:val="2C5045E5"/>
    <w:rsid w:val="2CAB69EA"/>
    <w:rsid w:val="2CFD3A0F"/>
    <w:rsid w:val="2D8D21DF"/>
    <w:rsid w:val="2E99758B"/>
    <w:rsid w:val="2EFF2BA5"/>
    <w:rsid w:val="2F135929"/>
    <w:rsid w:val="2F5B7661"/>
    <w:rsid w:val="2F8161B2"/>
    <w:rsid w:val="2FB8179C"/>
    <w:rsid w:val="30452754"/>
    <w:rsid w:val="30A47560"/>
    <w:rsid w:val="30C220DC"/>
    <w:rsid w:val="30DE1D5A"/>
    <w:rsid w:val="317B68C0"/>
    <w:rsid w:val="31C9042F"/>
    <w:rsid w:val="329333DC"/>
    <w:rsid w:val="32C512E3"/>
    <w:rsid w:val="331A7FAD"/>
    <w:rsid w:val="343A2AD0"/>
    <w:rsid w:val="34C605C1"/>
    <w:rsid w:val="34E70363"/>
    <w:rsid w:val="35305866"/>
    <w:rsid w:val="357E5F8E"/>
    <w:rsid w:val="35F23922"/>
    <w:rsid w:val="364B03CB"/>
    <w:rsid w:val="36A8681D"/>
    <w:rsid w:val="36BE50F4"/>
    <w:rsid w:val="36F824D0"/>
    <w:rsid w:val="37375C91"/>
    <w:rsid w:val="376B0DD8"/>
    <w:rsid w:val="378620B5"/>
    <w:rsid w:val="3792544B"/>
    <w:rsid w:val="37B409D1"/>
    <w:rsid w:val="381E7F36"/>
    <w:rsid w:val="385C5F52"/>
    <w:rsid w:val="385F0CD8"/>
    <w:rsid w:val="391060DB"/>
    <w:rsid w:val="392C63BA"/>
    <w:rsid w:val="39386801"/>
    <w:rsid w:val="3A1219DE"/>
    <w:rsid w:val="3A3000B7"/>
    <w:rsid w:val="3A3A67AA"/>
    <w:rsid w:val="3B824942"/>
    <w:rsid w:val="3BE41DC7"/>
    <w:rsid w:val="3C2F4ACA"/>
    <w:rsid w:val="3C3E62A8"/>
    <w:rsid w:val="3C52528F"/>
    <w:rsid w:val="3D422C9F"/>
    <w:rsid w:val="3D483969"/>
    <w:rsid w:val="3D8B691D"/>
    <w:rsid w:val="3D971EA2"/>
    <w:rsid w:val="3DCC2E80"/>
    <w:rsid w:val="3DFC0A7B"/>
    <w:rsid w:val="3E7A795E"/>
    <w:rsid w:val="3EDB5CD0"/>
    <w:rsid w:val="3EFB28CA"/>
    <w:rsid w:val="3F3516E3"/>
    <w:rsid w:val="3F732F1F"/>
    <w:rsid w:val="3FE59C01"/>
    <w:rsid w:val="403B2110"/>
    <w:rsid w:val="404F4EEB"/>
    <w:rsid w:val="410F4ECA"/>
    <w:rsid w:val="414276BB"/>
    <w:rsid w:val="41484B09"/>
    <w:rsid w:val="41CD6E83"/>
    <w:rsid w:val="41F74B89"/>
    <w:rsid w:val="42644DA1"/>
    <w:rsid w:val="427540FE"/>
    <w:rsid w:val="42D9061D"/>
    <w:rsid w:val="42FE0076"/>
    <w:rsid w:val="43816C0A"/>
    <w:rsid w:val="43D33061"/>
    <w:rsid w:val="43EA343E"/>
    <w:rsid w:val="442742D8"/>
    <w:rsid w:val="443F16BD"/>
    <w:rsid w:val="4492209A"/>
    <w:rsid w:val="45102F4E"/>
    <w:rsid w:val="45126D36"/>
    <w:rsid w:val="45592BB7"/>
    <w:rsid w:val="45606145"/>
    <w:rsid w:val="45740942"/>
    <w:rsid w:val="45834BF4"/>
    <w:rsid w:val="46347950"/>
    <w:rsid w:val="466F5E22"/>
    <w:rsid w:val="4673671D"/>
    <w:rsid w:val="468D38CC"/>
    <w:rsid w:val="46B207D1"/>
    <w:rsid w:val="46C6427C"/>
    <w:rsid w:val="483D40CA"/>
    <w:rsid w:val="48666693"/>
    <w:rsid w:val="4884607F"/>
    <w:rsid w:val="48A8734E"/>
    <w:rsid w:val="48FD3F52"/>
    <w:rsid w:val="492B3565"/>
    <w:rsid w:val="4943028A"/>
    <w:rsid w:val="495E125A"/>
    <w:rsid w:val="497550B4"/>
    <w:rsid w:val="49866B78"/>
    <w:rsid w:val="4A29327C"/>
    <w:rsid w:val="4AF65AC7"/>
    <w:rsid w:val="4B134C16"/>
    <w:rsid w:val="4B3C2D5F"/>
    <w:rsid w:val="4CD55219"/>
    <w:rsid w:val="4D0C66CB"/>
    <w:rsid w:val="4D9A53B7"/>
    <w:rsid w:val="4DA7089B"/>
    <w:rsid w:val="4E7D4302"/>
    <w:rsid w:val="4F255618"/>
    <w:rsid w:val="4F365D17"/>
    <w:rsid w:val="4F8C3212"/>
    <w:rsid w:val="4FAB60BC"/>
    <w:rsid w:val="4FAC282F"/>
    <w:rsid w:val="4FB4519D"/>
    <w:rsid w:val="4FF94490"/>
    <w:rsid w:val="4FFB346E"/>
    <w:rsid w:val="5003644E"/>
    <w:rsid w:val="50086D8C"/>
    <w:rsid w:val="50111814"/>
    <w:rsid w:val="50413011"/>
    <w:rsid w:val="50AD4906"/>
    <w:rsid w:val="50DC335D"/>
    <w:rsid w:val="51590ECD"/>
    <w:rsid w:val="5173078D"/>
    <w:rsid w:val="51761ED5"/>
    <w:rsid w:val="51A76A58"/>
    <w:rsid w:val="51E97E4F"/>
    <w:rsid w:val="523D4FA2"/>
    <w:rsid w:val="52994922"/>
    <w:rsid w:val="529A686F"/>
    <w:rsid w:val="532363DA"/>
    <w:rsid w:val="532365B3"/>
    <w:rsid w:val="53274507"/>
    <w:rsid w:val="53A063C7"/>
    <w:rsid w:val="5406215C"/>
    <w:rsid w:val="54245ECC"/>
    <w:rsid w:val="54BD5A48"/>
    <w:rsid w:val="54DD0D95"/>
    <w:rsid w:val="54DF59F4"/>
    <w:rsid w:val="55627866"/>
    <w:rsid w:val="583D216C"/>
    <w:rsid w:val="58966990"/>
    <w:rsid w:val="58C26E8E"/>
    <w:rsid w:val="58C90690"/>
    <w:rsid w:val="58F837CC"/>
    <w:rsid w:val="58F944D7"/>
    <w:rsid w:val="58FD484E"/>
    <w:rsid w:val="592E1725"/>
    <w:rsid w:val="598B2716"/>
    <w:rsid w:val="5A3F1FBE"/>
    <w:rsid w:val="5A784640"/>
    <w:rsid w:val="5B0719C4"/>
    <w:rsid w:val="5B893549"/>
    <w:rsid w:val="5B8E207B"/>
    <w:rsid w:val="5BA51739"/>
    <w:rsid w:val="5BB56E3A"/>
    <w:rsid w:val="5BD37988"/>
    <w:rsid w:val="5C56031C"/>
    <w:rsid w:val="5C695B97"/>
    <w:rsid w:val="5D880229"/>
    <w:rsid w:val="5DC170F4"/>
    <w:rsid w:val="5DE46CBE"/>
    <w:rsid w:val="5E7932FA"/>
    <w:rsid w:val="5E9860A7"/>
    <w:rsid w:val="5EB014D6"/>
    <w:rsid w:val="5EE25574"/>
    <w:rsid w:val="5F34023F"/>
    <w:rsid w:val="5F6749F3"/>
    <w:rsid w:val="60366D78"/>
    <w:rsid w:val="603A3D78"/>
    <w:rsid w:val="60614E19"/>
    <w:rsid w:val="6082033A"/>
    <w:rsid w:val="60DD4E5A"/>
    <w:rsid w:val="619D619B"/>
    <w:rsid w:val="61AD62F2"/>
    <w:rsid w:val="623622E8"/>
    <w:rsid w:val="6256396B"/>
    <w:rsid w:val="62976675"/>
    <w:rsid w:val="632B56BE"/>
    <w:rsid w:val="632F2D27"/>
    <w:rsid w:val="633E7923"/>
    <w:rsid w:val="63492BAE"/>
    <w:rsid w:val="635F53E5"/>
    <w:rsid w:val="63CC2530"/>
    <w:rsid w:val="63D423F2"/>
    <w:rsid w:val="63D7745D"/>
    <w:rsid w:val="640F405A"/>
    <w:rsid w:val="645841F8"/>
    <w:rsid w:val="64620AAD"/>
    <w:rsid w:val="64BE05E4"/>
    <w:rsid w:val="651D49EE"/>
    <w:rsid w:val="65C13D82"/>
    <w:rsid w:val="65F20792"/>
    <w:rsid w:val="66560D21"/>
    <w:rsid w:val="670C0284"/>
    <w:rsid w:val="672A01AE"/>
    <w:rsid w:val="672C7CD4"/>
    <w:rsid w:val="677C7B75"/>
    <w:rsid w:val="678C6B27"/>
    <w:rsid w:val="67962E45"/>
    <w:rsid w:val="679A77F5"/>
    <w:rsid w:val="67C034E7"/>
    <w:rsid w:val="67E56CBA"/>
    <w:rsid w:val="681326C3"/>
    <w:rsid w:val="688F3C56"/>
    <w:rsid w:val="68AD63C2"/>
    <w:rsid w:val="690F51B7"/>
    <w:rsid w:val="69DA57C5"/>
    <w:rsid w:val="69DC722B"/>
    <w:rsid w:val="69EB15DA"/>
    <w:rsid w:val="69EB79D2"/>
    <w:rsid w:val="69EC1A1D"/>
    <w:rsid w:val="6A2A22CE"/>
    <w:rsid w:val="6A376DCB"/>
    <w:rsid w:val="6A407855"/>
    <w:rsid w:val="6AD730FA"/>
    <w:rsid w:val="6AE736AC"/>
    <w:rsid w:val="6AEA1A38"/>
    <w:rsid w:val="6AF21117"/>
    <w:rsid w:val="6B3C7DBA"/>
    <w:rsid w:val="6B691723"/>
    <w:rsid w:val="6B9C668F"/>
    <w:rsid w:val="6BBB33D4"/>
    <w:rsid w:val="6BDB3171"/>
    <w:rsid w:val="6C7517D5"/>
    <w:rsid w:val="6C9574FF"/>
    <w:rsid w:val="6CAA294A"/>
    <w:rsid w:val="6CE806E3"/>
    <w:rsid w:val="6D8D0DA1"/>
    <w:rsid w:val="6DA560EA"/>
    <w:rsid w:val="6DE2064C"/>
    <w:rsid w:val="6E410908"/>
    <w:rsid w:val="6F361C7B"/>
    <w:rsid w:val="6FE47DAB"/>
    <w:rsid w:val="6FF60E7F"/>
    <w:rsid w:val="700328C3"/>
    <w:rsid w:val="701632CF"/>
    <w:rsid w:val="70221C74"/>
    <w:rsid w:val="702F043C"/>
    <w:rsid w:val="70E37395"/>
    <w:rsid w:val="71356A85"/>
    <w:rsid w:val="71C54FAD"/>
    <w:rsid w:val="71F2229E"/>
    <w:rsid w:val="7270105F"/>
    <w:rsid w:val="73010267"/>
    <w:rsid w:val="736507F6"/>
    <w:rsid w:val="738642C8"/>
    <w:rsid w:val="73D7525F"/>
    <w:rsid w:val="7496493D"/>
    <w:rsid w:val="74C3150C"/>
    <w:rsid w:val="74EE691B"/>
    <w:rsid w:val="74FB5EF8"/>
    <w:rsid w:val="752B3379"/>
    <w:rsid w:val="753326F4"/>
    <w:rsid w:val="75CA13C5"/>
    <w:rsid w:val="766FC9DA"/>
    <w:rsid w:val="77773B4A"/>
    <w:rsid w:val="77972015"/>
    <w:rsid w:val="78062A41"/>
    <w:rsid w:val="78096FBD"/>
    <w:rsid w:val="781E0F73"/>
    <w:rsid w:val="781F4E13"/>
    <w:rsid w:val="78571E11"/>
    <w:rsid w:val="78761ED9"/>
    <w:rsid w:val="79106B94"/>
    <w:rsid w:val="79BD3221"/>
    <w:rsid w:val="7A7C7798"/>
    <w:rsid w:val="7AB340FA"/>
    <w:rsid w:val="7B0D0464"/>
    <w:rsid w:val="7CAB0233"/>
    <w:rsid w:val="7CAC4219"/>
    <w:rsid w:val="7D4270FF"/>
    <w:rsid w:val="7D965669"/>
    <w:rsid w:val="7E92225B"/>
    <w:rsid w:val="7EA27B28"/>
    <w:rsid w:val="7EAD62C9"/>
    <w:rsid w:val="7F11402B"/>
    <w:rsid w:val="7F9562A7"/>
    <w:rsid w:val="BFEB8D7B"/>
    <w:rsid w:val="FEE4D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100" w:beforeLines="100" w:after="100" w:afterLines="100" w:line="240" w:lineRule="auto"/>
      <w:ind w:firstLine="0" w:firstLineChars="0"/>
      <w:outlineLvl w:val="0"/>
    </w:pPr>
    <w:rPr>
      <w:rFonts w:eastAsia="黑体"/>
      <w:b/>
      <w:kern w:val="44"/>
      <w:sz w:val="32"/>
    </w:rPr>
  </w:style>
  <w:style w:type="paragraph" w:styleId="3">
    <w:name w:val="heading 2"/>
    <w:basedOn w:val="1"/>
    <w:next w:val="1"/>
    <w:link w:val="25"/>
    <w:unhideWhenUsed/>
    <w:qFormat/>
    <w:uiPriority w:val="0"/>
    <w:pPr>
      <w:pBdr>
        <w:top w:val="none" w:color="4F81BD" w:themeColor="accent1" w:sz="0" w:space="1"/>
        <w:left w:val="none" w:color="4F81BD" w:themeColor="accent1" w:sz="0" w:space="4"/>
        <w:bottom w:val="none" w:color="4F81BD" w:themeColor="accent1" w:sz="0" w:space="1"/>
        <w:right w:val="none" w:color="4F81BD" w:themeColor="accent1" w:sz="0" w:space="4"/>
      </w:pBdr>
      <w:spacing w:before="100" w:beforeLines="100" w:after="50" w:afterLines="50" w:line="240" w:lineRule="auto"/>
      <w:ind w:firstLine="0" w:firstLineChars="0"/>
      <w:jc w:val="left"/>
      <w:outlineLvl w:val="1"/>
    </w:pPr>
    <w:rPr>
      <w:rFonts w:hint="eastAsia"/>
      <w:b/>
      <w:bCs/>
      <w:color w:val="000000" w:themeColor="text1"/>
      <w:kern w:val="0"/>
      <w:sz w:val="28"/>
      <w:szCs w:val="36"/>
      <w14:textFill>
        <w14:solidFill>
          <w14:schemeClr w14:val="tx1"/>
        </w14:solidFill>
      </w14:textFill>
    </w:rPr>
  </w:style>
  <w:style w:type="paragraph" w:styleId="4">
    <w:name w:val="heading 3"/>
    <w:basedOn w:val="1"/>
    <w:next w:val="1"/>
    <w:link w:val="26"/>
    <w:unhideWhenUsed/>
    <w:qFormat/>
    <w:uiPriority w:val="0"/>
    <w:pPr>
      <w:keepNext/>
      <w:keepLines/>
      <w:spacing w:before="50" w:beforeLines="50" w:after="50" w:afterLines="50" w:line="240" w:lineRule="auto"/>
      <w:ind w:firstLine="0" w:firstLineChars="0"/>
      <w:outlineLvl w:val="2"/>
    </w:pPr>
    <w:rPr>
      <w:b/>
    </w:rPr>
  </w:style>
  <w:style w:type="paragraph" w:styleId="5">
    <w:name w:val="heading 4"/>
    <w:basedOn w:val="1"/>
    <w:next w:val="1"/>
    <w:link w:val="35"/>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pPr>
      <w:spacing w:before="50" w:beforeLines="50" w:after="50" w:afterLines="50"/>
      <w:jc w:val="center"/>
    </w:pPr>
    <w:rPr>
      <w:rFonts w:eastAsia="黑体"/>
      <w:b/>
      <w:iCs/>
      <w:sz w:val="21"/>
    </w:rPr>
  </w:style>
  <w:style w:type="paragraph" w:styleId="7">
    <w:name w:val="Body Text"/>
    <w:basedOn w:val="1"/>
    <w:qFormat/>
    <w:uiPriority w:val="0"/>
    <w:pPr>
      <w:spacing w:after="120"/>
    </w:pPr>
  </w:style>
  <w:style w:type="paragraph" w:styleId="8">
    <w:name w:val="Body Text Indent"/>
    <w:basedOn w:val="1"/>
    <w:qFormat/>
    <w:uiPriority w:val="0"/>
    <w:pPr>
      <w:spacing w:line="420" w:lineRule="exact"/>
    </w:pPr>
    <w:rPr>
      <w:rFonts w:ascii="宋体" w:hAnsi="宋体"/>
    </w:rPr>
  </w:style>
  <w:style w:type="paragraph" w:styleId="9">
    <w:name w:val="toc 3"/>
    <w:next w:val="1"/>
    <w:qFormat/>
    <w:uiPriority w:val="39"/>
    <w:pPr>
      <w:ind w:left="400" w:leftChars="400"/>
    </w:pPr>
    <w:rPr>
      <w:rFonts w:ascii="Times New Roman" w:hAnsi="Times New Roman" w:eastAsia="宋体" w:cs="Times New Roman"/>
      <w:sz w:val="21"/>
      <w:lang w:val="en-US" w:eastAsia="zh-CN" w:bidi="ar-SA"/>
    </w:rPr>
  </w:style>
  <w:style w:type="paragraph" w:styleId="10">
    <w:name w:val="Plain Text"/>
    <w:basedOn w:val="1"/>
    <w:qFormat/>
    <w:uiPriority w:val="0"/>
    <w:rPr>
      <w:rFonts w:ascii="宋体" w:hAnsi="Courier New" w:cs="Courier New"/>
      <w:szCs w:val="21"/>
    </w:rPr>
  </w:style>
  <w:style w:type="paragraph" w:styleId="11">
    <w:name w:val="Date"/>
    <w:basedOn w:val="1"/>
    <w:next w:val="1"/>
    <w:link w:val="37"/>
    <w:qFormat/>
    <w:uiPriority w:val="0"/>
    <w:pPr>
      <w:ind w:left="100" w:leftChars="2500"/>
    </w:pPr>
  </w:style>
  <w:style w:type="paragraph" w:styleId="12">
    <w:name w:val="Body Text Indent 2"/>
    <w:basedOn w:val="1"/>
    <w:qFormat/>
    <w:uiPriority w:val="0"/>
    <w:pPr>
      <w:spacing w:after="120" w:line="480" w:lineRule="auto"/>
      <w:ind w:left="420" w:leftChars="200"/>
    </w:pPr>
  </w:style>
  <w:style w:type="paragraph" w:styleId="13">
    <w:name w:val="footer"/>
    <w:basedOn w:val="1"/>
    <w:link w:val="31"/>
    <w:qFormat/>
    <w:uiPriority w:val="99"/>
    <w:pPr>
      <w:tabs>
        <w:tab w:val="center" w:pos="4153"/>
        <w:tab w:val="right" w:pos="8306"/>
      </w:tabs>
      <w:snapToGrid w:val="0"/>
      <w:jc w:val="left"/>
    </w:pPr>
    <w:rPr>
      <w:rFonts w:eastAsiaTheme="minorEastAsia"/>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next w:val="1"/>
    <w:qFormat/>
    <w:uiPriority w:val="39"/>
    <w:pPr>
      <w:tabs>
        <w:tab w:val="right" w:leader="dot" w:pos="8306"/>
      </w:tabs>
      <w:spacing w:before="50" w:beforeLines="50" w:after="50" w:afterLines="50"/>
    </w:pPr>
    <w:rPr>
      <w:rFonts w:ascii="Times New Roman" w:hAnsi="Times New Roman" w:eastAsia="宋体" w:cs="Times New Roman"/>
      <w:b/>
      <w:sz w:val="24"/>
      <w:lang w:val="en-US" w:eastAsia="zh-CN" w:bidi="ar-SA"/>
    </w:rPr>
  </w:style>
  <w:style w:type="paragraph" w:styleId="16">
    <w:name w:val="footnote text"/>
    <w:basedOn w:val="1"/>
    <w:semiHidden/>
    <w:qFormat/>
    <w:uiPriority w:val="0"/>
    <w:pPr>
      <w:snapToGrid w:val="0"/>
      <w:jc w:val="left"/>
    </w:pPr>
    <w:rPr>
      <w:sz w:val="18"/>
      <w:szCs w:val="18"/>
    </w:rPr>
  </w:style>
  <w:style w:type="paragraph" w:styleId="17">
    <w:name w:val="toc 2"/>
    <w:next w:val="1"/>
    <w:qFormat/>
    <w:uiPriority w:val="39"/>
    <w:pPr>
      <w:ind w:left="200" w:leftChars="200"/>
    </w:pPr>
    <w:rPr>
      <w:rFonts w:ascii="Times New Roman" w:hAnsi="Times New Roman" w:eastAsia="宋体" w:cs="Times New Roman"/>
      <w:sz w:val="21"/>
      <w:lang w:val="en-US" w:eastAsia="zh-CN" w:bidi="ar-SA"/>
    </w:rPr>
  </w:style>
  <w:style w:type="paragraph" w:styleId="18">
    <w:name w:val="Normal (Web)"/>
    <w:basedOn w:val="1"/>
    <w:qFormat/>
    <w:uiPriority w:val="0"/>
    <w:pPr>
      <w:spacing w:before="100" w:beforeAutospacing="1" w:after="100" w:afterAutospacing="1"/>
      <w:jc w:val="left"/>
    </w:pPr>
    <w:rPr>
      <w:kern w:val="0"/>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qFormat/>
    <w:uiPriority w:val="99"/>
    <w:rPr>
      <w:color w:val="0000FF"/>
      <w:u w:val="single"/>
    </w:rPr>
  </w:style>
  <w:style w:type="character" w:styleId="24">
    <w:name w:val="footnote reference"/>
    <w:semiHidden/>
    <w:qFormat/>
    <w:uiPriority w:val="0"/>
    <w:rPr>
      <w:vertAlign w:val="superscript"/>
    </w:rPr>
  </w:style>
  <w:style w:type="character" w:customStyle="1" w:styleId="25">
    <w:name w:val="标题 2 字符"/>
    <w:basedOn w:val="21"/>
    <w:link w:val="3"/>
    <w:qFormat/>
    <w:uiPriority w:val="0"/>
    <w:rPr>
      <w:b/>
      <w:bCs/>
      <w:color w:val="000000" w:themeColor="text1"/>
      <w:sz w:val="28"/>
      <w:szCs w:val="36"/>
      <w14:textFill>
        <w14:solidFill>
          <w14:schemeClr w14:val="tx1"/>
        </w14:solidFill>
      </w14:textFill>
    </w:rPr>
  </w:style>
  <w:style w:type="character" w:customStyle="1" w:styleId="26">
    <w:name w:val="标题 3 字符"/>
    <w:basedOn w:val="21"/>
    <w:link w:val="4"/>
    <w:qFormat/>
    <w:uiPriority w:val="0"/>
    <w:rPr>
      <w:b/>
      <w:kern w:val="2"/>
      <w:sz w:val="24"/>
      <w:szCs w:val="24"/>
    </w:rPr>
  </w:style>
  <w:style w:type="paragraph" w:customStyle="1" w:styleId="27">
    <w:name w:val="WPSOffice手动目录 1"/>
    <w:qFormat/>
    <w:uiPriority w:val="0"/>
    <w:rPr>
      <w:rFonts w:ascii="Times New Roman" w:hAnsi="Times New Roman" w:eastAsia="宋体" w:cs="Times New Roman"/>
      <w:lang w:val="en-US" w:eastAsia="zh-CN" w:bidi="ar-SA"/>
    </w:rPr>
  </w:style>
  <w:style w:type="paragraph" w:customStyle="1" w:styleId="2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0">
    <w:name w:val="font11"/>
    <w:basedOn w:val="21"/>
    <w:qFormat/>
    <w:uiPriority w:val="0"/>
    <w:rPr>
      <w:rFonts w:hint="eastAsia" w:ascii="宋体" w:hAnsi="宋体" w:eastAsia="宋体" w:cs="宋体"/>
      <w:color w:val="000000"/>
      <w:sz w:val="21"/>
      <w:szCs w:val="21"/>
      <w:u w:val="none"/>
    </w:rPr>
  </w:style>
  <w:style w:type="character" w:customStyle="1" w:styleId="31">
    <w:name w:val="页脚 字符"/>
    <w:basedOn w:val="21"/>
    <w:link w:val="13"/>
    <w:qFormat/>
    <w:uiPriority w:val="99"/>
    <w:rPr>
      <w:rFonts w:eastAsiaTheme="minorEastAsia"/>
      <w:kern w:val="2"/>
      <w:sz w:val="18"/>
      <w:szCs w:val="18"/>
    </w:rPr>
  </w:style>
  <w:style w:type="paragraph" w:styleId="32">
    <w:name w:val="List Paragraph"/>
    <w:basedOn w:val="1"/>
    <w:unhideWhenUsed/>
    <w:qFormat/>
    <w:uiPriority w:val="99"/>
  </w:style>
  <w:style w:type="paragraph" w:customStyle="1" w:styleId="33">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 w:type="character" w:styleId="34">
    <w:name w:val="Placeholder Text"/>
    <w:basedOn w:val="21"/>
    <w:unhideWhenUsed/>
    <w:qFormat/>
    <w:uiPriority w:val="99"/>
    <w:rPr>
      <w:color w:val="666666"/>
    </w:rPr>
  </w:style>
  <w:style w:type="character" w:customStyle="1" w:styleId="35">
    <w:name w:val="标题 4 字符"/>
    <w:basedOn w:val="21"/>
    <w:link w:val="5"/>
    <w:semiHidden/>
    <w:qFormat/>
    <w:uiPriority w:val="0"/>
    <w:rPr>
      <w:rFonts w:asciiTheme="majorHAnsi" w:hAnsiTheme="majorHAnsi" w:eastAsiaTheme="majorEastAsia" w:cstheme="majorBidi"/>
      <w:b/>
      <w:bCs/>
      <w:kern w:val="2"/>
      <w:sz w:val="28"/>
      <w:szCs w:val="28"/>
    </w:rPr>
  </w:style>
  <w:style w:type="paragraph" w:customStyle="1" w:styleId="36">
    <w:name w:val="列表段落1"/>
    <w:basedOn w:val="1"/>
    <w:semiHidden/>
    <w:qFormat/>
    <w:uiPriority w:val="0"/>
  </w:style>
  <w:style w:type="character" w:customStyle="1" w:styleId="37">
    <w:name w:val="日期 字符"/>
    <w:basedOn w:val="21"/>
    <w:link w:val="11"/>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chart" Target="charts/chart13.xml"/><Relationship Id="rId27" Type="http://schemas.openxmlformats.org/officeDocument/2006/relationships/chart" Target="charts/chart12.xml"/><Relationship Id="rId26" Type="http://schemas.openxmlformats.org/officeDocument/2006/relationships/chart" Target="charts/chart11.xml"/><Relationship Id="rId25" Type="http://schemas.openxmlformats.org/officeDocument/2006/relationships/chart" Target="charts/chart10.xml"/><Relationship Id="rId24" Type="http://schemas.openxmlformats.org/officeDocument/2006/relationships/chart" Target="charts/chart9.xml"/><Relationship Id="rId23" Type="http://schemas.openxmlformats.org/officeDocument/2006/relationships/image" Target="media/image2.png"/><Relationship Id="rId22" Type="http://schemas.openxmlformats.org/officeDocument/2006/relationships/chart" Target="charts/chart8.xml"/><Relationship Id="rId21" Type="http://schemas.openxmlformats.org/officeDocument/2006/relationships/chart" Target="charts/chart7.xml"/><Relationship Id="rId20" Type="http://schemas.openxmlformats.org/officeDocument/2006/relationships/chart" Target="charts/chart6.xml"/><Relationship Id="rId2" Type="http://schemas.openxmlformats.org/officeDocument/2006/relationships/settings" Target="settings.xml"/><Relationship Id="rId19" Type="http://schemas.openxmlformats.org/officeDocument/2006/relationships/chart" Target="charts/chart5.xml"/><Relationship Id="rId18" Type="http://schemas.openxmlformats.org/officeDocument/2006/relationships/chart" Target="charts/chart4.xml"/><Relationship Id="rId17" Type="http://schemas.openxmlformats.org/officeDocument/2006/relationships/chart" Target="charts/chart3.xml"/><Relationship Id="rId16" Type="http://schemas.openxmlformats.org/officeDocument/2006/relationships/chart" Target="charts/chart2.xml"/><Relationship Id="rId15" Type="http://schemas.openxmlformats.org/officeDocument/2006/relationships/chart" Target="charts/chart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6.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package" Target="../embeddings/Workbook10.xlsx"/></Relationships>
</file>

<file path=word/charts/_rels/chart7.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package" Target="../embeddings/Workbook13.xlsx"/></Relationships>
</file>

<file path=word/charts/_rels/chart8.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package" Target="../embeddings/Workbook12.xlsx"/></Relationships>
</file>

<file path=word/charts/_rels/chart9.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_rels/chart10.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package" Target="../embeddings/Workbook11.xlsx"/></Relationships>
</file>

<file path=word/charts/_rels/chart1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7.xlsx"/></Relationships>
</file>

<file path=word/charts/_rels/chart1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package" Target="../embeddings/Workbook9.xlsx"/></Relationships>
</file>

<file path=word/charts/_rels/chart13.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8"/>
            <c:spPr>
              <a:solidFill>
                <a:srgbClr val="002060"/>
              </a:solidFill>
              <a:ln w="9525">
                <a:solidFill>
                  <a:schemeClr val="accent1"/>
                </a:solidFill>
              </a:ln>
              <a:effectLst/>
            </c:spPr>
          </c:marker>
          <c:dLbls>
            <c:dLbl>
              <c:idx val="4"/>
              <c:layout>
                <c:manualLayout>
                  <c:x val="0.00499750124937531"/>
                  <c:y val="-0.030224525043177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999499684324643"/>
                  <c:y val="0.058268990648013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349825087456273"/>
                  <c:y val="0.060449050086355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0.46</c:v>
                </c:pt>
                <c:pt idx="1">
                  <c:v>0.48</c:v>
                </c:pt>
                <c:pt idx="2">
                  <c:v>0.42</c:v>
                </c:pt>
                <c:pt idx="3">
                  <c:v>0.51</c:v>
                </c:pt>
                <c:pt idx="4">
                  <c:v>0.58</c:v>
                </c:pt>
                <c:pt idx="5">
                  <c:v>0.55</c:v>
                </c:pt>
                <c:pt idx="6">
                  <c:v>0.54</c:v>
                </c:pt>
                <c:pt idx="7">
                  <c:v>0.5</c:v>
                </c:pt>
                <c:pt idx="8">
                  <c:v>0.53</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7"/>
            <c:spPr>
              <a:solidFill>
                <a:schemeClr val="accent2"/>
              </a:solidFill>
              <a:ln w="9525">
                <a:solidFill>
                  <a:schemeClr val="accent2"/>
                </a:solidFill>
              </a:ln>
              <a:effectLst/>
            </c:spPr>
          </c:marker>
          <c:dLbls>
            <c:dLbl>
              <c:idx val="0"/>
              <c:layout>
                <c:manualLayout>
                  <c:x val="-0.0100857286938981"/>
                  <c:y val="-0.037756202804746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00857286938981"/>
                  <c:y val="-0.048543689320388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00857286938981"/>
                  <c:y val="-0.037756202804746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5955904912032"/>
                  <c:y val="-0.061364202140901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00176301714177"/>
                  <c:y val="0.06798070144144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504286434694916"/>
                  <c:y val="-0.048543689320388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9.24514450204175e-17"/>
                  <c:y val="-0.048543689320388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75642965204236"/>
                  <c:y val="-0.048543689320388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0.56</c:v>
                </c:pt>
                <c:pt idx="1">
                  <c:v>0.56</c:v>
                </c:pt>
                <c:pt idx="2">
                  <c:v>0.56</c:v>
                </c:pt>
                <c:pt idx="3">
                  <c:v>0.56</c:v>
                </c:pt>
                <c:pt idx="4">
                  <c:v>0.58</c:v>
                </c:pt>
                <c:pt idx="5">
                  <c:v>0.57</c:v>
                </c:pt>
                <c:pt idx="6">
                  <c:v>0.56</c:v>
                </c:pt>
                <c:pt idx="7">
                  <c:v>0.55</c:v>
                </c:pt>
                <c:pt idx="8">
                  <c:v>0.55</c:v>
                </c:pt>
              </c:numCache>
            </c:numRef>
          </c:val>
          <c:smooth val="0"/>
        </c:ser>
        <c:dLbls>
          <c:showLegendKey val="0"/>
          <c:showVal val="0"/>
          <c:showCatName val="0"/>
          <c:showSerName val="0"/>
          <c:showPercent val="0"/>
          <c:showBubbleSize val="0"/>
        </c:dLbls>
        <c:marker val="1"/>
        <c:smooth val="0"/>
        <c:axId val="476729343"/>
        <c:axId val="476746143"/>
      </c:lineChart>
      <c:catAx>
        <c:axId val="4767293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46143"/>
        <c:crosses val="autoZero"/>
        <c:auto val="1"/>
        <c:lblAlgn val="ctr"/>
        <c:lblOffset val="100"/>
        <c:noMultiLvlLbl val="0"/>
      </c:catAx>
      <c:valAx>
        <c:axId val="476746143"/>
        <c:scaling>
          <c:orientation val="minMax"/>
          <c:min val="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29343"/>
        <c:crosses val="autoZero"/>
        <c:crossBetween val="between"/>
      </c:valAx>
      <c:spPr>
        <a:noFill/>
        <a:ln>
          <a:noFill/>
        </a:ln>
        <a:effectLst>
          <a:glow rad="127000">
            <a:schemeClr val="accent1">
              <a:alpha val="97000"/>
            </a:schemeClr>
          </a:glow>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ea"/>
                <a:ea typeface="+mn-ea"/>
                <a:cs typeface="+mn-cs"/>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ea"/>
                <a:ea typeface="+mn-ea"/>
                <a:cs typeface="+mn-cs"/>
              </a:defRPr>
            </a:pPr>
          </a:p>
        </c:txPr>
      </c:legendEntry>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ea"/>
              <a:ea typeface="+mn-ea"/>
              <a:cs typeface="+mn-cs"/>
            </a:defRPr>
          </a:pPr>
        </a:p>
      </c:txPr>
    </c:legend>
    <c:plotVisOnly val="1"/>
    <c:dispBlanksAs val="gap"/>
    <c:showDLblsOverMax val="0"/>
    <c:extLst>
      <c:ext uri="{0b15fc19-7d7d-44ad-8c2d-2c3a37ce22c3}">
        <chartProps xmlns="https://web.wps.cn/et/2018/main" chartId="{06d2d2a6-b1a5-4113-800e-59ee35b9cb2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9"/>
            <c:spPr>
              <a:solidFill>
                <a:schemeClr val="tx1"/>
              </a:solidFill>
              <a:ln w="9525">
                <a:solidFill>
                  <a:schemeClr val="accent1"/>
                </a:solidFill>
              </a:ln>
              <a:effectLst/>
            </c:spPr>
          </c:marker>
          <c:dLbls>
            <c:dLbl>
              <c:idx val="1"/>
              <c:layout>
                <c:manualLayout>
                  <c:x val="0"/>
                  <c:y val="0.026782725142283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724462690171456"/>
                  <c:y val="-0.03347840642785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34741784037559"/>
                  <c:y val="-0.037622272385252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2.41</c:v>
                </c:pt>
                <c:pt idx="1">
                  <c:v>2.84</c:v>
                </c:pt>
                <c:pt idx="2">
                  <c:v>3.07</c:v>
                </c:pt>
                <c:pt idx="3">
                  <c:v>2.63</c:v>
                </c:pt>
                <c:pt idx="4">
                  <c:v>1.69</c:v>
                </c:pt>
                <c:pt idx="5">
                  <c:v>1.52</c:v>
                </c:pt>
                <c:pt idx="6">
                  <c:v>1.58</c:v>
                </c:pt>
                <c:pt idx="7">
                  <c:v>2.2</c:v>
                </c:pt>
                <c:pt idx="8">
                  <c:v>2.61</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7"/>
            <c:spPr>
              <a:solidFill>
                <a:schemeClr val="accent2"/>
              </a:solidFill>
              <a:ln w="9525">
                <a:solidFill>
                  <a:schemeClr val="accent2"/>
                </a:solidFill>
              </a:ln>
              <a:effectLst/>
            </c:spPr>
          </c:marker>
          <c:dLbls>
            <c:dLbl>
              <c:idx val="0"/>
              <c:layout>
                <c:manualLayout>
                  <c:x val="-0.00704225352112676"/>
                  <c:y val="-0.033860045146726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33860045146726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4.30354965904901e-17"/>
                  <c:y val="-0.030097817908201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234741784037559"/>
                  <c:y val="-0.030097817908201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704225352112676"/>
                  <c:y val="-0.037622272385252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41487563390485"/>
                  <c:y val="0.039792381158247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54716981132075"/>
                  <c:y val="0.036285282540156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1.7214198636196e-16"/>
                  <c:y val="-0.037622272385252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1.87932048833477e-5"/>
                  <c:y val="-0.027979528328003"/>
                </c:manualLayout>
              </c:layout>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extLst>
                <c:ext xmlns:c15="http://schemas.microsoft.com/office/drawing/2012/chart" uri="{CE6537A1-D6FC-4f65-9D91-7224C49458BB}">
                  <c15:layout>
                    <c:manualLayout>
                      <c:w val="0.0703427507290155"/>
                      <c:h val="0.113284883788233"/>
                    </c:manualLayout>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1.23</c:v>
                </c:pt>
                <c:pt idx="1">
                  <c:v>1.25</c:v>
                </c:pt>
                <c:pt idx="2">
                  <c:v>1.34</c:v>
                </c:pt>
                <c:pt idx="3">
                  <c:v>1.26</c:v>
                </c:pt>
                <c:pt idx="4">
                  <c:v>1.26</c:v>
                </c:pt>
                <c:pt idx="5">
                  <c:v>1.29</c:v>
                </c:pt>
                <c:pt idx="6">
                  <c:v>1.34</c:v>
                </c:pt>
                <c:pt idx="7">
                  <c:v>1.33</c:v>
                </c:pt>
                <c:pt idx="8">
                  <c:v>1.39</c:v>
                </c:pt>
              </c:numCache>
            </c:numRef>
          </c:val>
          <c:smooth val="0"/>
        </c:ser>
        <c:dLbls>
          <c:showLegendKey val="0"/>
          <c:showVal val="0"/>
          <c:showCatName val="0"/>
          <c:showSerName val="0"/>
          <c:showPercent val="0"/>
          <c:showBubbleSize val="0"/>
        </c:dLbls>
        <c:marker val="1"/>
        <c:smooth val="0"/>
        <c:axId val="1747925791"/>
        <c:axId val="1747942591"/>
      </c:lineChart>
      <c:catAx>
        <c:axId val="1747925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7942591"/>
        <c:crosses val="autoZero"/>
        <c:auto val="1"/>
        <c:lblAlgn val="ctr"/>
        <c:lblOffset val="100"/>
        <c:noMultiLvlLbl val="0"/>
      </c:catAx>
      <c:valAx>
        <c:axId val="1747942591"/>
        <c:scaling>
          <c:orientation val="minMax"/>
          <c:min val="0.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7925791"/>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83cbe07-52d1-45dd-8136-712979e3356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07606589147287"/>
          <c:y val="0.04979035639413"/>
          <c:w val="0.89968507751938"/>
          <c:h val="0.695335429769392"/>
        </c:manualLayout>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7"/>
            <c:spPr>
              <a:solidFill>
                <a:schemeClr val="tx1"/>
              </a:solidFill>
              <a:ln w="9525">
                <a:solidFill>
                  <a:schemeClr val="accent1"/>
                </a:solidFill>
              </a:ln>
              <a:effectLst/>
            </c:spPr>
          </c:marker>
          <c:dLbls>
            <c:dLbl>
              <c:idx val="0"/>
              <c:layout>
                <c:manualLayout>
                  <c:x val="-0.00963159162051529"/>
                  <c:y val="-0.030864197530864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481579581025765"/>
                  <c:y val="-0.030864197530864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92631832410306"/>
                  <c:y val="-0.030864197530864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44473874307729"/>
                  <c:y val="-0.039682539682539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44473874307729"/>
                  <c:y val="-0.039682539682539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40784016945971"/>
                  <c:y val="0.038285563628435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22371065606666"/>
                  <c:y val="0.036954129928865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358984923396203"/>
                  <c:y val="0.0263300813813367"/>
                </c:manualLayout>
              </c:layout>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extLst>
                <c:ext xmlns:c15="http://schemas.microsoft.com/office/drawing/2012/chart" uri="{CE6537A1-D6FC-4f65-9D91-7224C49458BB}">
                  <c15:layout>
                    <c:manualLayout>
                      <c:w val="0.0636757614600501"/>
                      <c:h val="0.113823684775252"/>
                    </c:manualLayout>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6.8</c:v>
                </c:pt>
                <c:pt idx="1">
                  <c:v>3.49</c:v>
                </c:pt>
                <c:pt idx="2">
                  <c:v>1.72</c:v>
                </c:pt>
                <c:pt idx="3">
                  <c:v>1.66</c:v>
                </c:pt>
                <c:pt idx="4">
                  <c:v>2.19</c:v>
                </c:pt>
                <c:pt idx="5">
                  <c:v>1.76</c:v>
                </c:pt>
                <c:pt idx="6">
                  <c:v>1.52</c:v>
                </c:pt>
                <c:pt idx="7">
                  <c:v>1.3</c:v>
                </c:pt>
                <c:pt idx="8">
                  <c:v>1.63</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7"/>
            <c:spPr>
              <a:solidFill>
                <a:schemeClr val="accent2"/>
              </a:solidFill>
              <a:ln w="9525">
                <a:solidFill>
                  <a:schemeClr val="accent2"/>
                </a:solidFill>
              </a:ln>
              <a:effectLst/>
            </c:spPr>
          </c:marker>
          <c:dLbls>
            <c:dLbl>
              <c:idx val="2"/>
              <c:layout>
                <c:manualLayout>
                  <c:x val="-0.00963159162051529"/>
                  <c:y val="-0.030864197530864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240789790512891"/>
                  <c:y val="0.017636684303350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722369371538647"/>
                  <c:y val="-0.013227513227513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722369371538647"/>
                  <c:y val="-0.039682539682539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22369371538647"/>
                  <c:y val="-0.043248066213945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363362555697997"/>
                  <c:y val="-0.0387254659205336"/>
                </c:manualLayout>
              </c:layout>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extLst>
                <c:ext xmlns:c15="http://schemas.microsoft.com/office/drawing/2012/chart" uri="{CE6537A1-D6FC-4f65-9D91-7224C49458BB}">
                  <c15:layout>
                    <c:manualLayout>
                      <c:w val="0.0782106451809803"/>
                      <c:h val="0.0906130837418908"/>
                    </c:manualLayout>
                  </c15:layout>
                </c:ext>
              </c:extLst>
            </c:dLbl>
            <c:dLbl>
              <c:idx val="8"/>
              <c:layout>
                <c:manualLayout>
                  <c:x val="-0.0168552853359018"/>
                  <c:y val="-0.039682539682539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91.77</c:v>
                </c:pt>
                <c:pt idx="1">
                  <c:v>101.02</c:v>
                </c:pt>
                <c:pt idx="2">
                  <c:v>32.06</c:v>
                </c:pt>
                <c:pt idx="3">
                  <c:v>25.38</c:v>
                </c:pt>
                <c:pt idx="4">
                  <c:v>31.77</c:v>
                </c:pt>
                <c:pt idx="5">
                  <c:v>10.06</c:v>
                </c:pt>
                <c:pt idx="6">
                  <c:v>8.14</c:v>
                </c:pt>
                <c:pt idx="7">
                  <c:v>8.2</c:v>
                </c:pt>
                <c:pt idx="8">
                  <c:v>7.71</c:v>
                </c:pt>
              </c:numCache>
            </c:numRef>
          </c:val>
          <c:smooth val="0"/>
        </c:ser>
        <c:dLbls>
          <c:showLegendKey val="0"/>
          <c:showVal val="0"/>
          <c:showCatName val="0"/>
          <c:showSerName val="0"/>
          <c:showPercent val="0"/>
          <c:showBubbleSize val="0"/>
        </c:dLbls>
        <c:marker val="1"/>
        <c:smooth val="0"/>
        <c:axId val="476720223"/>
        <c:axId val="476720703"/>
      </c:lineChart>
      <c:catAx>
        <c:axId val="476720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20703"/>
        <c:crosses val="autoZero"/>
        <c:auto val="1"/>
        <c:lblAlgn val="ctr"/>
        <c:lblOffset val="100"/>
        <c:noMultiLvlLbl val="0"/>
      </c:catAx>
      <c:valAx>
        <c:axId val="4767207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20223"/>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04014a23-9d5b-47ad-b93f-4bf743871ec7}"/>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7"/>
            <c:spPr>
              <a:solidFill>
                <a:schemeClr val="tx1"/>
              </a:solidFill>
              <a:ln w="9525">
                <a:solidFill>
                  <a:schemeClr val="accent1"/>
                </a:solidFill>
              </a:ln>
              <a:effectLst/>
            </c:spPr>
          </c:marker>
          <c:dLbls>
            <c:dLbl>
              <c:idx val="2"/>
              <c:layout>
                <c:manualLayout>
                  <c:x val="-0.00730460189919655"/>
                  <c:y val="0.054424891755638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
                  <c:y val="0.026782725142283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89736222399513"/>
                  <c:y val="0.0557278939270522"/>
                </c:manualLayout>
              </c:layout>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extLst>
                <c:ext xmlns:c15="http://schemas.microsoft.com/office/drawing/2012/chart" uri="{CE6537A1-D6FC-4f65-9D91-7224C49458BB}">
                  <c15:layout>
                    <c:manualLayout>
                      <c:w val="0.0773272283695815"/>
                      <c:h val="0.0948815126557456"/>
                    </c:manualLayout>
                  </c15:layout>
                </c:ext>
              </c:extLst>
            </c:dLbl>
            <c:dLbl>
              <c:idx val="5"/>
              <c:layout>
                <c:manualLayout>
                  <c:x val="-8.97362777657797e-17"/>
                  <c:y val="-0.01436781609195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8.97362777657797e-17"/>
                  <c:y val="-0.019157088122605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1.76577139875259e-16"/>
                  <c:y val="0.024767801857585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1.34</c:v>
                </c:pt>
                <c:pt idx="1">
                  <c:v>0.61</c:v>
                </c:pt>
                <c:pt idx="2">
                  <c:v>0.28</c:v>
                </c:pt>
                <c:pt idx="3">
                  <c:v>0.24</c:v>
                </c:pt>
                <c:pt idx="4">
                  <c:v>0.33</c:v>
                </c:pt>
                <c:pt idx="5">
                  <c:v>0.21</c:v>
                </c:pt>
                <c:pt idx="6">
                  <c:v>0.16</c:v>
                </c:pt>
                <c:pt idx="7">
                  <c:v>0.13</c:v>
                </c:pt>
                <c:pt idx="8">
                  <c:v>0.14</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7"/>
            <c:spPr>
              <a:solidFill>
                <a:schemeClr val="accent2"/>
              </a:solidFill>
              <a:ln w="9525">
                <a:solidFill>
                  <a:schemeClr val="accent2"/>
                </a:solidFill>
              </a:ln>
              <a:effectLst/>
            </c:spPr>
          </c:marker>
          <c:dLbls>
            <c:dLbl>
              <c:idx val="0"/>
              <c:layout>
                <c:manualLayout>
                  <c:x val="-0.00734214390602056"/>
                  <c:y val="-0.047892720306513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213998628430397"/>
                  <c:y val="0.060496331599319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240789790512887"/>
                  <c:y val="-0.028895768833849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8.82885699376296e-17"/>
                  <c:y val="-0.049535603715170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722369371538647"/>
                  <c:y val="-0.041279669762641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168552853359018"/>
                  <c:y val="-0.045407636738906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8.82885699376296e-17"/>
                  <c:y val="-0.041279669762641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240789790512882"/>
                  <c:y val="-0.053663570691434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0.36</c:v>
                </c:pt>
                <c:pt idx="1">
                  <c:v>0.33</c:v>
                </c:pt>
                <c:pt idx="2">
                  <c:v>0.35</c:v>
                </c:pt>
                <c:pt idx="3">
                  <c:v>0.32</c:v>
                </c:pt>
                <c:pt idx="4">
                  <c:v>0.34</c:v>
                </c:pt>
                <c:pt idx="5">
                  <c:v>0.35</c:v>
                </c:pt>
                <c:pt idx="6">
                  <c:v>0.33</c:v>
                </c:pt>
                <c:pt idx="7">
                  <c:v>0.31</c:v>
                </c:pt>
                <c:pt idx="8">
                  <c:v>0.29</c:v>
                </c:pt>
              </c:numCache>
            </c:numRef>
          </c:val>
          <c:smooth val="0"/>
        </c:ser>
        <c:dLbls>
          <c:showLegendKey val="0"/>
          <c:showVal val="0"/>
          <c:showCatName val="0"/>
          <c:showSerName val="0"/>
          <c:showPercent val="0"/>
          <c:showBubbleSize val="0"/>
        </c:dLbls>
        <c:marker val="1"/>
        <c:smooth val="0"/>
        <c:axId val="1747930591"/>
        <c:axId val="1747927711"/>
      </c:lineChart>
      <c:catAx>
        <c:axId val="174793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7927711"/>
        <c:crosses val="autoZero"/>
        <c:auto val="1"/>
        <c:lblAlgn val="ctr"/>
        <c:lblOffset val="100"/>
        <c:noMultiLvlLbl val="0"/>
      </c:catAx>
      <c:valAx>
        <c:axId val="1747927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7930591"/>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manualLayout>
          <c:xMode val="edge"/>
          <c:yMode val="edge"/>
          <c:x val="0.328037496956416"/>
          <c:y val="0.850169910410874"/>
        </c:manualLayout>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8e43e336-d927-4665-8681-1df09a5ed670}"/>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7"/>
            <c:spPr>
              <a:solidFill>
                <a:schemeClr val="tx1"/>
              </a:solidFill>
              <a:ln w="9525">
                <a:solidFill>
                  <a:schemeClr val="accent1"/>
                </a:solidFill>
              </a:ln>
              <a:effectLst/>
            </c:spPr>
          </c:marker>
          <c:dLbls>
            <c:dLbl>
              <c:idx val="2"/>
              <c:layout>
                <c:manualLayout>
                  <c:x val="0"/>
                  <c:y val="0.036184210526315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20394895256441"/>
                  <c:y val="-0.049535603715170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362231345085728"/>
                  <c:y val="-0.080348175426849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33808258874668"/>
                  <c:y val="-0.060261131570137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0.06</c:v>
                </c:pt>
                <c:pt idx="1">
                  <c:v>0.12</c:v>
                </c:pt>
                <c:pt idx="2">
                  <c:v>0.27</c:v>
                </c:pt>
                <c:pt idx="3">
                  <c:v>0.31</c:v>
                </c:pt>
                <c:pt idx="4">
                  <c:v>0.33</c:v>
                </c:pt>
                <c:pt idx="5">
                  <c:v>0.54</c:v>
                </c:pt>
                <c:pt idx="6">
                  <c:v>0.57</c:v>
                </c:pt>
                <c:pt idx="7">
                  <c:v>0.5</c:v>
                </c:pt>
                <c:pt idx="8">
                  <c:v>0.42</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7"/>
            <c:spPr>
              <a:solidFill>
                <a:schemeClr val="accent2"/>
              </a:solidFill>
              <a:ln w="9525">
                <a:solidFill>
                  <a:schemeClr val="accent2"/>
                </a:solidFill>
              </a:ln>
              <a:effectLst/>
            </c:spPr>
          </c:marker>
          <c:dLbls>
            <c:dLbl>
              <c:idx val="0"/>
              <c:layout>
                <c:manualLayout>
                  <c:x val="-0.012067342705079"/>
                  <c:y val="-0.0782353452889029"/>
                </c:manualLayout>
              </c:layout>
              <c:numFmt formatCode="General" sourceLinked="1"/>
              <c:spPr>
                <a:noFill/>
                <a:ln>
                  <a:noFill/>
                </a:ln>
                <a:effectLst/>
              </c:spPr>
              <c:txPr>
                <a:bodyPr rot="0" spcFirstLastPara="1" vertOverflow="ellipsis" vert="horz" wrap="square" lIns="38100" tIns="19050" rIns="38100" bIns="19050" anchor="ctr" anchorCtr="1">
                  <a:no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extLst>
                <c:ext xmlns:c15="http://schemas.microsoft.com/office/drawing/2012/chart" uri="{CE6537A1-D6FC-4f65-9D91-7224C49458BB}">
                  <c15:layout>
                    <c:manualLayout>
                      <c:w val="0.0745244401637371"/>
                      <c:h val="0.111393351372874"/>
                    </c:manualLayout>
                  </c15:layout>
                </c:ext>
              </c:extLst>
            </c:dLbl>
            <c:dLbl>
              <c:idx val="1"/>
              <c:layout>
                <c:manualLayout>
                  <c:x val="-0.0265706674373987"/>
                  <c:y val="-0.067411275632728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722369371538647"/>
                  <c:y val="-0.049535603715170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433421622923189"/>
                  <c:y val="0.0660474716202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240789790512882"/>
                  <c:y val="0.028895768833849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
                  <c:y val="0.041279669762641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24462690171465"/>
                  <c:y val="0.040174087713424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240789790512882"/>
                  <c:y val="0.024767801857585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0.24</c:v>
                </c:pt>
                <c:pt idx="1">
                  <c:v>0.26</c:v>
                </c:pt>
                <c:pt idx="2">
                  <c:v>0.28</c:v>
                </c:pt>
                <c:pt idx="3">
                  <c:v>0.29</c:v>
                </c:pt>
                <c:pt idx="4">
                  <c:v>0.21</c:v>
                </c:pt>
                <c:pt idx="5">
                  <c:v>0.23</c:v>
                </c:pt>
                <c:pt idx="6">
                  <c:v>0.22</c:v>
                </c:pt>
                <c:pt idx="7">
                  <c:v>0.26</c:v>
                </c:pt>
                <c:pt idx="8">
                  <c:v>0.28</c:v>
                </c:pt>
              </c:numCache>
            </c:numRef>
          </c:val>
          <c:smooth val="0"/>
        </c:ser>
        <c:dLbls>
          <c:showLegendKey val="0"/>
          <c:showVal val="0"/>
          <c:showCatName val="0"/>
          <c:showSerName val="0"/>
          <c:showPercent val="0"/>
          <c:showBubbleSize val="0"/>
        </c:dLbls>
        <c:marker val="1"/>
        <c:smooth val="0"/>
        <c:axId val="1749579039"/>
        <c:axId val="1749579999"/>
      </c:lineChart>
      <c:catAx>
        <c:axId val="17495790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9579999"/>
        <c:crosses val="autoZero"/>
        <c:auto val="1"/>
        <c:lblAlgn val="ctr"/>
        <c:lblOffset val="100"/>
        <c:noMultiLvlLbl val="0"/>
      </c:catAx>
      <c:valAx>
        <c:axId val="17495799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9579039"/>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9c2d965b-a948-4f36-90bc-541096883893}"/>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7"/>
            <c:spPr>
              <a:solidFill>
                <a:schemeClr val="tx1"/>
              </a:solidFill>
              <a:ln w="9525">
                <a:solidFill>
                  <a:schemeClr val="accent1"/>
                </a:solidFill>
              </a:ln>
              <a:effectLst/>
            </c:spPr>
          </c:marker>
          <c:dLbls>
            <c:dLbl>
              <c:idx val="0"/>
              <c:layout>
                <c:manualLayout>
                  <c:x val="-0.00148148148148148"/>
                  <c:y val="-0.03843416370106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48148148148148"/>
                  <c:y val="-0.025622775800711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93190050712388"/>
                  <c:y val="-0.066956812855708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60261131570137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0.12</c:v>
                </c:pt>
                <c:pt idx="1">
                  <c:v>0.11</c:v>
                </c:pt>
                <c:pt idx="2">
                  <c:v>0.08</c:v>
                </c:pt>
                <c:pt idx="3">
                  <c:v>0.07</c:v>
                </c:pt>
                <c:pt idx="4">
                  <c:v>0.11</c:v>
                </c:pt>
                <c:pt idx="5">
                  <c:v>0.16</c:v>
                </c:pt>
                <c:pt idx="6">
                  <c:v>0.14</c:v>
                </c:pt>
                <c:pt idx="7">
                  <c:v>0.06</c:v>
                </c:pt>
                <c:pt idx="8">
                  <c:v>0.05</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6"/>
            <c:spPr>
              <a:solidFill>
                <a:schemeClr val="accent2"/>
              </a:solidFill>
              <a:ln w="9525">
                <a:solidFill>
                  <a:schemeClr val="accent2"/>
                </a:solidFill>
              </a:ln>
              <a:effectLst/>
            </c:spPr>
          </c:marker>
          <c:dLbls>
            <c:dLbl>
              <c:idx val="0"/>
              <c:layout>
                <c:manualLayout>
                  <c:x val="-0.00624825301811917"/>
                  <c:y val="-0.053565450284566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217338807051437"/>
                  <c:y val="-0.066956812855708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727802037845706"/>
                  <c:y val="0.045289855072463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439716312056738"/>
                  <c:y val="-0.074534161490683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
                  <c:y val="0.034161490683229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18633540372670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0.05</c:v>
                </c:pt>
                <c:pt idx="1">
                  <c:v>0.04</c:v>
                </c:pt>
                <c:pt idx="2">
                  <c:v>0.05</c:v>
                </c:pt>
                <c:pt idx="3">
                  <c:v>0.05</c:v>
                </c:pt>
                <c:pt idx="4">
                  <c:v>-0.02</c:v>
                </c:pt>
                <c:pt idx="5">
                  <c:v>0.04</c:v>
                </c:pt>
                <c:pt idx="6">
                  <c:v>0.05</c:v>
                </c:pt>
                <c:pt idx="7">
                  <c:v>0.02</c:v>
                </c:pt>
                <c:pt idx="8">
                  <c:v>0.06</c:v>
                </c:pt>
              </c:numCache>
            </c:numRef>
          </c:val>
          <c:smooth val="0"/>
        </c:ser>
        <c:dLbls>
          <c:showLegendKey val="0"/>
          <c:showVal val="0"/>
          <c:showCatName val="0"/>
          <c:showSerName val="0"/>
          <c:showPercent val="0"/>
          <c:showBubbleSize val="0"/>
        </c:dLbls>
        <c:marker val="1"/>
        <c:smooth val="0"/>
        <c:axId val="1747945471"/>
        <c:axId val="1747929151"/>
      </c:lineChart>
      <c:catAx>
        <c:axId val="1747945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7929151"/>
        <c:crosses val="autoZero"/>
        <c:auto val="1"/>
        <c:lblAlgn val="ctr"/>
        <c:lblOffset val="100"/>
        <c:noMultiLvlLbl val="0"/>
      </c:catAx>
      <c:valAx>
        <c:axId val="1747929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747945471"/>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manualLayout>
          <c:xMode val="edge"/>
          <c:yMode val="edge"/>
          <c:x val="0.33161938534279"/>
          <c:y val="0.868271221532091"/>
        </c:manualLayout>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e4a35ee7-9e19-4c9c-ab5d-79c3b5d719bd}"/>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7"/>
            <c:spPr>
              <a:solidFill>
                <a:schemeClr val="tx1"/>
              </a:solidFill>
              <a:ln w="9525">
                <a:solidFill>
                  <a:schemeClr val="tx1"/>
                </a:solidFill>
              </a:ln>
              <a:effectLst/>
            </c:spPr>
          </c:marker>
          <c:dLbls>
            <c:dLbl>
              <c:idx val="0"/>
              <c:layout>
                <c:manualLayout>
                  <c:x val="-0.016904129437334"/>
                  <c:y val="-0.060261131570137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16511867905056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4.41442849688148e-17"/>
                  <c:y val="0.02476780185758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332409972299169"/>
                  <c:y val="-0.07344797435150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31241719860291"/>
                  <c:y val="-0.04896531623433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735294117647068"/>
                  <c:y val="-0.035246727089627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120604973883215"/>
                  <c:y val="-0.044854737985338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470422203928043"/>
                  <c:y val="-0.06351446718419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0.29</c:v>
                </c:pt>
                <c:pt idx="1">
                  <c:v>0.03</c:v>
                </c:pt>
                <c:pt idx="2">
                  <c:v>0.11</c:v>
                </c:pt>
                <c:pt idx="3">
                  <c:v>0.08</c:v>
                </c:pt>
                <c:pt idx="4">
                  <c:v>0.6</c:v>
                </c:pt>
                <c:pt idx="5">
                  <c:v>0.21</c:v>
                </c:pt>
                <c:pt idx="6">
                  <c:v>0.15</c:v>
                </c:pt>
                <c:pt idx="7">
                  <c:v>0.26</c:v>
                </c:pt>
                <c:pt idx="8">
                  <c:v>0.04</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7"/>
            <c:spPr>
              <a:solidFill>
                <a:schemeClr val="accent2"/>
              </a:solidFill>
              <a:ln w="9525">
                <a:solidFill>
                  <a:schemeClr val="accent2"/>
                </a:solidFill>
              </a:ln>
              <a:effectLst/>
            </c:spPr>
          </c:marker>
          <c:dLbls>
            <c:dLbl>
              <c:idx val="0"/>
              <c:layout>
                <c:manualLayout>
                  <c:x val="-0.00722369371538647"/>
                  <c:y val="0.049535603715170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82559339525283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722630374563411"/>
                  <c:y val="-0.020985135529000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483678673225494"/>
                  <c:y val="0.035493437441511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35211101964021"/>
                  <c:y val="0.035285815102328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481579581025773"/>
                  <c:y val="0.028895768833849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
                  <c:y val="0.033023735810113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216710811461594"/>
                  <c:y val="-0.049535603715170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0.16</c:v>
                </c:pt>
                <c:pt idx="1">
                  <c:v>0.07</c:v>
                </c:pt>
                <c:pt idx="2">
                  <c:v>0.3</c:v>
                </c:pt>
                <c:pt idx="3">
                  <c:v>3.76</c:v>
                </c:pt>
                <c:pt idx="4">
                  <c:v>0.02</c:v>
                </c:pt>
                <c:pt idx="5">
                  <c:v>-0.07</c:v>
                </c:pt>
                <c:pt idx="6">
                  <c:v>0.08</c:v>
                </c:pt>
                <c:pt idx="7">
                  <c:v>0.11</c:v>
                </c:pt>
                <c:pt idx="8">
                  <c:v>0.08</c:v>
                </c:pt>
              </c:numCache>
            </c:numRef>
          </c:val>
          <c:smooth val="0"/>
        </c:ser>
        <c:dLbls>
          <c:showLegendKey val="0"/>
          <c:showVal val="0"/>
          <c:showCatName val="0"/>
          <c:showSerName val="0"/>
          <c:showPercent val="0"/>
          <c:showBubbleSize val="0"/>
        </c:dLbls>
        <c:marker val="1"/>
        <c:smooth val="0"/>
        <c:axId val="476735583"/>
        <c:axId val="476752383"/>
      </c:lineChart>
      <c:catAx>
        <c:axId val="476735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52383"/>
        <c:crosses val="autoZero"/>
        <c:auto val="1"/>
        <c:lblAlgn val="ctr"/>
        <c:lblOffset val="100"/>
        <c:noMultiLvlLbl val="0"/>
      </c:catAx>
      <c:valAx>
        <c:axId val="4767523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35583"/>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6416583-eef4-4247-a351-9550fa54ced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601979123996784"/>
          <c:y val="0.0372121929880716"/>
          <c:w val="0.903674919970264"/>
          <c:h val="0.695968034483494"/>
        </c:manualLayout>
      </c:layout>
      <c:lineChart>
        <c:grouping val="standard"/>
        <c:varyColors val="0"/>
        <c:ser>
          <c:idx val="0"/>
          <c:order val="0"/>
          <c:tx>
            <c:strRef>
              <c:f>Sheet1!$B$1</c:f>
              <c:strCache>
                <c:ptCount val="1"/>
                <c:pt idx="0">
                  <c:v>川能动力</c:v>
                </c:pt>
              </c:strCache>
            </c:strRef>
          </c:tx>
          <c:spPr>
            <a:ln w="28575" cap="rnd">
              <a:solidFill>
                <a:schemeClr val="accent1"/>
              </a:solidFill>
              <a:round/>
            </a:ln>
            <a:effectLst/>
          </c:spPr>
          <c:marker>
            <c:symbol val="triangle"/>
            <c:size val="6"/>
            <c:spPr>
              <a:solidFill>
                <a:schemeClr val="tx1"/>
              </a:solidFill>
              <a:ln w="9525">
                <a:solidFill>
                  <a:schemeClr val="accent1"/>
                </a:solidFill>
              </a:ln>
              <a:effectLst/>
            </c:spPr>
          </c:marker>
          <c:dLbls>
            <c:dLbl>
              <c:idx val="1"/>
              <c:layout>
                <c:manualLayout>
                  <c:x val="-0.014481807690037"/>
                  <c:y val="-0.048686473039423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362932494556013"/>
                  <c:y val="-0.077519379844961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2.04408764287222e-5"/>
                  <c:y val="0.0240585845751538"/>
                </c:manualLayout>
              </c:layout>
              <c:dLblPos val="r"/>
              <c:showLegendKey val="0"/>
              <c:showVal val="1"/>
              <c:showCatName val="0"/>
              <c:showSerName val="0"/>
              <c:showPercent val="0"/>
              <c:showBubbleSize val="0"/>
              <c:extLst>
                <c:ext xmlns:c15="http://schemas.microsoft.com/office/drawing/2012/chart" uri="{CE6537A1-D6FC-4f65-9D91-7224C49458BB}">
                  <c15:layout>
                    <c:manualLayout>
                      <c:w val="0.0675054439874183"/>
                      <c:h val="0.0923772609819122"/>
                    </c:manualLayout>
                  </c15:layout>
                </c:ext>
              </c:extLst>
            </c:dLbl>
            <c:dLbl>
              <c:idx val="6"/>
              <c:layout>
                <c:manualLayout>
                  <c:x val="-0.00146451749073514"/>
                  <c:y val="0.025353434436363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241487563390485"/>
                  <c:y val="0.019729062156483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722543352601156"/>
                  <c:y val="-0.06097560975609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2.59</c:v>
                </c:pt>
                <c:pt idx="1">
                  <c:v>-0.34</c:v>
                </c:pt>
                <c:pt idx="2">
                  <c:v>-0.52</c:v>
                </c:pt>
                <c:pt idx="3">
                  <c:v>-0.03</c:v>
                </c:pt>
                <c:pt idx="4">
                  <c:v>1.21</c:v>
                </c:pt>
                <c:pt idx="5">
                  <c:v>-0.14</c:v>
                </c:pt>
                <c:pt idx="6">
                  <c:v>-0.13</c:v>
                </c:pt>
                <c:pt idx="7">
                  <c:v>-0.08</c:v>
                </c:pt>
                <c:pt idx="8">
                  <c:v>0.18</c:v>
                </c:pt>
              </c:numCache>
            </c:numRef>
          </c:val>
          <c:smooth val="0"/>
        </c:ser>
        <c:ser>
          <c:idx val="1"/>
          <c:order val="1"/>
          <c:tx>
            <c:strRef>
              <c:f>Sheet1!$C$1</c:f>
              <c:strCache>
                <c:ptCount val="1"/>
                <c:pt idx="0">
                  <c:v>行业均值</c:v>
                </c:pt>
              </c:strCache>
            </c:strRef>
          </c:tx>
          <c:spPr>
            <a:ln w="28575" cap="rnd">
              <a:solidFill>
                <a:schemeClr val="accent2"/>
              </a:solidFill>
              <a:round/>
            </a:ln>
            <a:effectLst/>
          </c:spPr>
          <c:marker>
            <c:symbol val="square"/>
            <c:size val="6"/>
            <c:spPr>
              <a:solidFill>
                <a:schemeClr val="accent2"/>
              </a:solidFill>
              <a:ln w="9525">
                <a:solidFill>
                  <a:schemeClr val="accent2"/>
                </a:solidFill>
              </a:ln>
              <a:effectLst/>
            </c:spPr>
          </c:marker>
          <c:dLbls>
            <c:dLbl>
              <c:idx val="0"/>
              <c:layout>
                <c:manualLayout>
                  <c:x val="-0.00722543352601156"/>
                  <c:y val="-0.03387533875338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20423892100193"/>
                  <c:y val="-0.081300813008130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44508670520231"/>
                  <c:y val="-0.067750677506775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64932562620425"/>
                  <c:y val="-0.08807588075880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44508670520232"/>
                  <c:y val="0.047425474254742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96339113680155"/>
                  <c:y val="-0.06097560975609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216763005780348"/>
                  <c:y val="-0.074525745257452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337128108263925"/>
                  <c:y val="-0.072193414847534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240847784200368"/>
                  <c:y val="0.020325203252032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Sheet1!$C$2:$C$10</c:f>
              <c:numCache>
                <c:formatCode>General</c:formatCode>
                <c:ptCount val="9"/>
                <c:pt idx="0">
                  <c:v>0.27</c:v>
                </c:pt>
                <c:pt idx="1">
                  <c:v>0.08</c:v>
                </c:pt>
                <c:pt idx="2">
                  <c:v>0.35</c:v>
                </c:pt>
                <c:pt idx="3">
                  <c:v>0.26</c:v>
                </c:pt>
                <c:pt idx="4">
                  <c:v>0.22</c:v>
                </c:pt>
                <c:pt idx="5">
                  <c:v>0.17</c:v>
                </c:pt>
                <c:pt idx="6">
                  <c:v>0.02</c:v>
                </c:pt>
                <c:pt idx="7">
                  <c:v>0.05</c:v>
                </c:pt>
                <c:pt idx="8">
                  <c:v>0.01</c:v>
                </c:pt>
              </c:numCache>
            </c:numRef>
          </c:val>
          <c:smooth val="0"/>
        </c:ser>
        <c:dLbls>
          <c:showLegendKey val="0"/>
          <c:showVal val="0"/>
          <c:showCatName val="0"/>
          <c:showSerName val="0"/>
          <c:showPercent val="0"/>
          <c:showBubbleSize val="0"/>
        </c:dLbls>
        <c:marker val="1"/>
        <c:smooth val="0"/>
        <c:axId val="476758623"/>
        <c:axId val="476760063"/>
      </c:lineChart>
      <c:catAx>
        <c:axId val="476758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60063"/>
        <c:crosses val="autoZero"/>
        <c:auto val="1"/>
        <c:lblAlgn val="ctr"/>
        <c:lblOffset val="100"/>
        <c:noMultiLvlLbl val="0"/>
      </c:catAx>
      <c:valAx>
        <c:axId val="476760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6758623"/>
        <c:crosses val="autoZero"/>
        <c:crossBetween val="between"/>
        <c:majorUnit val="0.5"/>
      </c:valAx>
      <c:spPr>
        <a:noFill/>
        <a:ln>
          <a:noFill/>
        </a:ln>
        <a:effectLst/>
      </c:spPr>
    </c:plotArea>
    <c:legend>
      <c:legendPos val="b"/>
      <c:legendEntry>
        <c:idx val="0"/>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6743a49-e6d3-49be-849f-e920910389e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28606965174129"/>
          <c:y val="0.0885668276972625"/>
          <c:w val="0.928283582089552"/>
          <c:h val="0.716747181964573"/>
        </c:manualLayout>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triangle"/>
            <c:size val="8"/>
            <c:spPr>
              <a:solidFill>
                <a:schemeClr val="tx1"/>
              </a:solidFill>
              <a:ln w="9525">
                <a:solidFill>
                  <a:schemeClr val="accent1"/>
                </a:solidFill>
              </a:ln>
              <a:effectLst/>
            </c:spPr>
          </c:marker>
          <c:dLbls>
            <c:dLbl>
              <c:idx val="2"/>
              <c:layout>
                <c:manualLayout>
                  <c:x val="-0.0127013995060567"/>
                  <c:y val="-0.05504587155963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144968597109384"/>
                  <c:y val="0.022324561287890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18346465953193"/>
                  <c:y val="-0.067748764996471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141126661178408"/>
                  <c:y val="-0.050811573747353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69351993414089"/>
                  <c:y val="-0.067748764996471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General</c:formatCode>
                <c:ptCount val="9"/>
                <c:pt idx="0">
                  <c:v>0.78</c:v>
                </c:pt>
                <c:pt idx="1">
                  <c:v>0.35</c:v>
                </c:pt>
                <c:pt idx="2">
                  <c:v>0.27</c:v>
                </c:pt>
                <c:pt idx="3">
                  <c:v>0.21</c:v>
                </c:pt>
                <c:pt idx="4">
                  <c:v>0.37</c:v>
                </c:pt>
                <c:pt idx="5">
                  <c:v>0.25</c:v>
                </c:pt>
                <c:pt idx="6">
                  <c:v>0.21</c:v>
                </c:pt>
                <c:pt idx="7">
                  <c:v>0.21</c:v>
                </c:pt>
                <c:pt idx="8">
                  <c:v>0.18</c:v>
                </c:pt>
              </c:numCache>
            </c:numRef>
          </c:val>
          <c:smooth val="0"/>
        </c:ser>
        <c:dLbls>
          <c:showLegendKey val="0"/>
          <c:showVal val="1"/>
          <c:showCatName val="0"/>
          <c:showSerName val="0"/>
          <c:showPercent val="0"/>
          <c:showBubbleSize val="0"/>
        </c:dLbls>
        <c:marker val="1"/>
        <c:smooth val="0"/>
        <c:axId val="963223021"/>
        <c:axId val="994626346"/>
      </c:lineChart>
      <c:catAx>
        <c:axId val="96322302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94626346"/>
        <c:crosses val="autoZero"/>
        <c:auto val="1"/>
        <c:lblAlgn val="ctr"/>
        <c:lblOffset val="100"/>
        <c:noMultiLvlLbl val="0"/>
      </c:catAx>
      <c:valAx>
        <c:axId val="99462634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63223021"/>
        <c:crosses val="autoZero"/>
        <c:crossBetween val="between"/>
      </c:valAx>
      <c:spPr>
        <a:noFill/>
        <a:ln>
          <a:noFill/>
        </a:ln>
        <a:effectLst/>
      </c:spPr>
    </c:plotArea>
    <c:plotVisOnly val="1"/>
    <c:dispBlanksAs val="gap"/>
    <c:showDLblsOverMax val="0"/>
    <c:extLst>
      <c:ext uri="{0b15fc19-7d7d-44ad-8c2d-2c3a37ce22c3}">
        <chartProps xmlns="https://web.wps.cn/et/2018/main" chartId="{2e1ecd35-5631-48d2-b283-5c6c544e785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02894491129785"/>
          <c:y val="0.00871080139372822"/>
          <c:w val="0.906209150326797"/>
          <c:h val="0.795702671312427"/>
        </c:manualLayout>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triangle"/>
            <c:size val="8"/>
            <c:spPr>
              <a:solidFill>
                <a:schemeClr val="tx1"/>
              </a:solidFill>
              <a:ln w="9525">
                <a:solidFill>
                  <a:schemeClr val="accent1"/>
                </a:solidFill>
              </a:ln>
              <a:effectLst/>
            </c:spPr>
          </c:marker>
          <c:dLbls>
            <c:dLbl>
              <c:idx val="4"/>
              <c:layout>
                <c:manualLayout>
                  <c:x val="-0.0112044817927171"/>
                  <c:y val="0.038327526132404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211689991767611"/>
                  <c:y val="-0.070571630204657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69351993414089"/>
                  <c:y val="0.071983062808750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69686411149825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0.00000_ </c:formatCode>
                <c:ptCount val="9"/>
                <c:pt idx="0">
                  <c:v>0.10209</c:v>
                </c:pt>
                <c:pt idx="1">
                  <c:v>0.1189</c:v>
                </c:pt>
                <c:pt idx="2">
                  <c:v>0.15736</c:v>
                </c:pt>
                <c:pt idx="3">
                  <c:v>0.09412</c:v>
                </c:pt>
                <c:pt idx="4">
                  <c:v>0.00996</c:v>
                </c:pt>
                <c:pt idx="5">
                  <c:v>0.01252</c:v>
                </c:pt>
                <c:pt idx="6">
                  <c:v>0.0202</c:v>
                </c:pt>
                <c:pt idx="7">
                  <c:v>0.07313</c:v>
                </c:pt>
                <c:pt idx="8">
                  <c:v>0.08461</c:v>
                </c:pt>
              </c:numCache>
            </c:numRef>
          </c:val>
          <c:smooth val="0"/>
        </c:ser>
        <c:dLbls>
          <c:showLegendKey val="0"/>
          <c:showVal val="1"/>
          <c:showCatName val="0"/>
          <c:showSerName val="0"/>
          <c:showPercent val="0"/>
          <c:showBubbleSize val="0"/>
        </c:dLbls>
        <c:marker val="1"/>
        <c:smooth val="0"/>
        <c:axId val="441138835"/>
        <c:axId val="911031012"/>
      </c:lineChart>
      <c:catAx>
        <c:axId val="441138835"/>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11031012"/>
        <c:crosses val="autoZero"/>
        <c:auto val="1"/>
        <c:lblAlgn val="ctr"/>
        <c:lblOffset val="100"/>
        <c:noMultiLvlLbl val="0"/>
      </c:catAx>
      <c:valAx>
        <c:axId val="911031012"/>
        <c:scaling>
          <c:orientation val="minMax"/>
        </c:scaling>
        <c:delete val="0"/>
        <c:axPos val="l"/>
        <c:majorGridlines>
          <c:spPr>
            <a:ln w="9525" cap="flat" cmpd="sng" algn="ctr">
              <a:solidFill>
                <a:schemeClr val="lt1">
                  <a:lumMod val="90200"/>
                </a:schemeClr>
              </a:solidFill>
              <a:round/>
            </a:ln>
            <a:effectLst/>
          </c:spPr>
        </c:majorGridlines>
        <c:numFmt formatCode="0.00000_ "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41138835"/>
        <c:crosses val="autoZero"/>
        <c:crossBetween val="between"/>
      </c:valAx>
      <c:spPr>
        <a:noFill/>
        <a:ln>
          <a:noFill/>
        </a:ln>
        <a:effectLst/>
      </c:spPr>
    </c:plotArea>
    <c:plotVisOnly val="1"/>
    <c:dispBlanksAs val="gap"/>
    <c:showDLblsOverMax val="0"/>
    <c:extLst>
      <c:ext uri="{0b15fc19-7d7d-44ad-8c2d-2c3a37ce22c3}">
        <chartProps xmlns="https://web.wps.cn/et/2018/main" chartId="{0683b249-8a46-426f-8c11-9f4278299e7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triangle"/>
            <c:size val="8"/>
            <c:spPr>
              <a:solidFill>
                <a:schemeClr val="tx1"/>
              </a:solidFill>
              <a:ln w="9525">
                <a:solidFill>
                  <a:schemeClr val="accent1"/>
                </a:solidFill>
              </a:ln>
              <a:effectLst/>
            </c:spPr>
          </c:marker>
          <c:dLbls>
            <c:dLbl>
              <c:idx val="2"/>
              <c:layout>
                <c:manualLayout>
                  <c:x val="-0.0187590187590188"/>
                  <c:y val="-0.024305555555555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
                  <c:y val="-0.042342978122794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
                  <c:y val="-0.042342978122794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865800865800866"/>
                  <c:y val="0.038194444444444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59027777777777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0.00000_ </c:formatCode>
                <c:ptCount val="9"/>
                <c:pt idx="0">
                  <c:v>0.4214</c:v>
                </c:pt>
                <c:pt idx="1">
                  <c:v>0.1675</c:v>
                </c:pt>
                <c:pt idx="2">
                  <c:v>0.04256</c:v>
                </c:pt>
                <c:pt idx="3">
                  <c:v>0.03315</c:v>
                </c:pt>
                <c:pt idx="4">
                  <c:v>0.06898</c:v>
                </c:pt>
                <c:pt idx="5">
                  <c:v>0.03148</c:v>
                </c:pt>
                <c:pt idx="6">
                  <c:v>0.01359</c:v>
                </c:pt>
                <c:pt idx="7">
                  <c:v>4e-5</c:v>
                </c:pt>
                <c:pt idx="8">
                  <c:v>0.01408</c:v>
                </c:pt>
              </c:numCache>
            </c:numRef>
          </c:val>
          <c:smooth val="0"/>
        </c:ser>
        <c:dLbls>
          <c:showLegendKey val="0"/>
          <c:showVal val="1"/>
          <c:showCatName val="0"/>
          <c:showSerName val="0"/>
          <c:showPercent val="0"/>
          <c:showBubbleSize val="0"/>
        </c:dLbls>
        <c:marker val="1"/>
        <c:smooth val="0"/>
        <c:axId val="306271730"/>
        <c:axId val="901398987"/>
      </c:lineChart>
      <c:catAx>
        <c:axId val="30627173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01398987"/>
        <c:crosses val="autoZero"/>
        <c:auto val="1"/>
        <c:lblAlgn val="ctr"/>
        <c:lblOffset val="100"/>
        <c:noMultiLvlLbl val="0"/>
      </c:catAx>
      <c:valAx>
        <c:axId val="901398987"/>
        <c:scaling>
          <c:orientation val="minMax"/>
        </c:scaling>
        <c:delete val="0"/>
        <c:axPos val="l"/>
        <c:majorGridlines>
          <c:spPr>
            <a:ln w="9525" cap="flat" cmpd="sng" algn="ctr">
              <a:solidFill>
                <a:schemeClr val="lt1">
                  <a:lumMod val="90200"/>
                </a:schemeClr>
              </a:solidFill>
              <a:round/>
            </a:ln>
            <a:effectLst/>
          </c:spPr>
        </c:majorGridlines>
        <c:numFmt formatCode="0.00000_ "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06271730"/>
        <c:crosses val="autoZero"/>
        <c:crossBetween val="between"/>
      </c:valAx>
      <c:spPr>
        <a:noFill/>
        <a:ln>
          <a:noFill/>
        </a:ln>
        <a:effectLst/>
      </c:spPr>
    </c:plotArea>
    <c:plotVisOnly val="1"/>
    <c:dispBlanksAs val="gap"/>
    <c:showDLblsOverMax val="0"/>
    <c:extLst>
      <c:ext uri="{0b15fc19-7d7d-44ad-8c2d-2c3a37ce22c3}">
        <chartProps xmlns="https://web.wps.cn/et/2018/main" chartId="{a0495a9e-f560-48b3-bff7-30f8b4fecc0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19497463155352"/>
          <c:y val="0.162558436039099"/>
          <c:w val="0.902923411452041"/>
          <c:h val="0.637994050148746"/>
        </c:manualLayout>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triangle"/>
            <c:size val="8"/>
            <c:spPr>
              <a:solidFill>
                <a:schemeClr val="tx1"/>
              </a:solidFill>
              <a:ln w="9525">
                <a:solidFill>
                  <a:schemeClr val="accent1"/>
                </a:solidFill>
              </a:ln>
              <a:effectLst/>
            </c:spPr>
          </c:marker>
          <c:dLbls>
            <c:dLbl>
              <c:idx val="0"/>
              <c:layout>
                <c:manualLayout>
                  <c:x val="-0.0224719101123595"/>
                  <c:y val="-0.032835820895522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82584269662921"/>
                  <c:y val="-0.029850746268656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280898876404494"/>
                  <c:y val="-0.044776119402985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280898876404496"/>
                  <c:y val="0.10677343334262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0.00000_ </c:formatCode>
                <c:ptCount val="9"/>
                <c:pt idx="0">
                  <c:v>0.0524</c:v>
                </c:pt>
                <c:pt idx="1">
                  <c:v>0.05244</c:v>
                </c:pt>
                <c:pt idx="2">
                  <c:v>0.04878</c:v>
                </c:pt>
                <c:pt idx="3">
                  <c:v>0.04631</c:v>
                </c:pt>
                <c:pt idx="4">
                  <c:v>0.07875</c:v>
                </c:pt>
                <c:pt idx="5">
                  <c:v>0.14248</c:v>
                </c:pt>
                <c:pt idx="6">
                  <c:v>0.13127</c:v>
                </c:pt>
                <c:pt idx="7">
                  <c:v>0.06263</c:v>
                </c:pt>
                <c:pt idx="8">
                  <c:v>0.04512</c:v>
                </c:pt>
              </c:numCache>
            </c:numRef>
          </c:val>
          <c:smooth val="0"/>
        </c:ser>
        <c:dLbls>
          <c:showLegendKey val="0"/>
          <c:showVal val="1"/>
          <c:showCatName val="0"/>
          <c:showSerName val="0"/>
          <c:showPercent val="0"/>
          <c:showBubbleSize val="0"/>
        </c:dLbls>
        <c:marker val="1"/>
        <c:smooth val="0"/>
        <c:axId val="276416410"/>
        <c:axId val="60278241"/>
      </c:lineChart>
      <c:catAx>
        <c:axId val="27641641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0278241"/>
        <c:crosses val="autoZero"/>
        <c:auto val="1"/>
        <c:lblAlgn val="ctr"/>
        <c:lblOffset val="100"/>
        <c:noMultiLvlLbl val="0"/>
      </c:catAx>
      <c:valAx>
        <c:axId val="60278241"/>
        <c:scaling>
          <c:orientation val="minMax"/>
        </c:scaling>
        <c:delete val="0"/>
        <c:axPos val="l"/>
        <c:majorGridlines>
          <c:spPr>
            <a:ln w="9525" cap="flat" cmpd="sng" algn="ctr">
              <a:solidFill>
                <a:schemeClr val="lt1">
                  <a:lumMod val="90200"/>
                </a:schemeClr>
              </a:solidFill>
              <a:round/>
            </a:ln>
            <a:effectLst/>
          </c:spPr>
        </c:majorGridlines>
        <c:numFmt formatCode="0.00000_ "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276416410"/>
        <c:crosses val="autoZero"/>
        <c:crossBetween val="between"/>
      </c:valAx>
      <c:spPr>
        <a:noFill/>
        <a:ln>
          <a:noFill/>
        </a:ln>
        <a:effectLst/>
      </c:spPr>
    </c:plotArea>
    <c:plotVisOnly val="1"/>
    <c:dispBlanksAs val="gap"/>
    <c:showDLblsOverMax val="0"/>
    <c:extLst>
      <c:ext uri="{0b15fc19-7d7d-44ad-8c2d-2c3a37ce22c3}">
        <chartProps xmlns="https://web.wps.cn/et/2018/main" chartId="{e0421d75-1941-4f90-9ed4-0d4229df5662}"/>
      </c:ext>
    </c:extLst>
  </c:chart>
  <c:spPr>
    <a:solidFill>
      <a:schemeClr val="bg1"/>
    </a:solidFill>
    <a:ln w="9525" cap="flat" cmpd="sng" algn="ctr">
      <a:solidFill>
        <a:schemeClr val="tx1">
          <a:lumMod val="15000"/>
          <a:lumOff val="85000"/>
        </a:schemeClr>
      </a:solidFill>
      <a:round/>
    </a:ln>
    <a:effectLst/>
  </c:spPr>
  <c:txPr>
    <a:bodyPr/>
    <a:lstStyle/>
    <a:p>
      <a:pPr>
        <a:defRPr lang="zh-CN"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triangle"/>
            <c:size val="7"/>
            <c:spPr>
              <a:solidFill>
                <a:schemeClr val="tx1"/>
              </a:solidFill>
              <a:ln w="9525">
                <a:solidFill>
                  <a:schemeClr val="accent1"/>
                </a:solidFill>
              </a:ln>
              <a:effectLst/>
            </c:spPr>
          </c:marker>
          <c:dLbls>
            <c:dLbl>
              <c:idx val="1"/>
              <c:layout>
                <c:manualLayout>
                  <c:x val="-0.00724462690171456"/>
                  <c:y val="0.026782725142283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50998725031874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Sheet1!$A$2:$A$10</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Sheet1!$B$2:$B$10</c:f>
              <c:numCache>
                <c:formatCode>0.00000_ </c:formatCode>
                <c:ptCount val="9"/>
                <c:pt idx="0">
                  <c:v>0.20385</c:v>
                </c:pt>
                <c:pt idx="1">
                  <c:v>0.00837</c:v>
                </c:pt>
                <c:pt idx="2">
                  <c:v>0.01841</c:v>
                </c:pt>
                <c:pt idx="3">
                  <c:v>0.03422</c:v>
                </c:pt>
                <c:pt idx="4">
                  <c:v>0.21117</c:v>
                </c:pt>
                <c:pt idx="5">
                  <c:v>0.059</c:v>
                </c:pt>
                <c:pt idx="6">
                  <c:v>0.04567</c:v>
                </c:pt>
                <c:pt idx="7">
                  <c:v>0.07327</c:v>
                </c:pt>
                <c:pt idx="8">
                  <c:v>0.03475</c:v>
                </c:pt>
              </c:numCache>
            </c:numRef>
          </c:val>
          <c:smooth val="0"/>
        </c:ser>
        <c:dLbls>
          <c:showLegendKey val="0"/>
          <c:showVal val="0"/>
          <c:showCatName val="0"/>
          <c:showSerName val="0"/>
          <c:showPercent val="0"/>
          <c:showBubbleSize val="0"/>
        </c:dLbls>
        <c:marker val="1"/>
        <c:smooth val="0"/>
        <c:axId val="716272253"/>
        <c:axId val="180539503"/>
      </c:lineChart>
      <c:catAx>
        <c:axId val="71627225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80539503"/>
        <c:crosses val="autoZero"/>
        <c:auto val="1"/>
        <c:lblAlgn val="ctr"/>
        <c:lblOffset val="100"/>
        <c:noMultiLvlLbl val="0"/>
      </c:catAx>
      <c:valAx>
        <c:axId val="180539503"/>
        <c:scaling>
          <c:orientation val="minMax"/>
        </c:scaling>
        <c:delete val="0"/>
        <c:axPos val="l"/>
        <c:majorGridlines>
          <c:spPr>
            <a:ln w="9525" cap="flat" cmpd="sng" algn="ctr">
              <a:solidFill>
                <a:schemeClr val="lt1">
                  <a:lumMod val="90200"/>
                </a:schemeClr>
              </a:solidFill>
              <a:round/>
            </a:ln>
            <a:effectLst/>
          </c:spPr>
        </c:majorGridlines>
        <c:numFmt formatCode="0.00000_ " sourceLinked="1"/>
        <c:majorTickMark val="none"/>
        <c:minorTickMark val="none"/>
        <c:tickLblPos val="nextTo"/>
        <c:spPr>
          <a:noFill/>
          <a:ln>
            <a:noFill/>
          </a:ln>
          <a:effectLst/>
        </c:spPr>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16272253"/>
        <c:crosses val="autoZero"/>
        <c:crossBetween val="between"/>
      </c:valAx>
      <c:spPr>
        <a:noFill/>
        <a:ln>
          <a:noFill/>
        </a:ln>
        <a:effectLst/>
      </c:spPr>
    </c:plotArea>
    <c:plotVisOnly val="1"/>
    <c:dispBlanksAs val="gap"/>
    <c:showDLblsOverMax val="0"/>
    <c:extLst>
      <c:ext uri="{0b15fc19-7d7d-44ad-8c2d-2c3a37ce22c3}">
        <chartProps xmlns="https://web.wps.cn/et/2018/main" chartId="{c23671c4-9810-4091-93f0-50065ca6202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2C5CAC-1AB5-495E-B21D-80C630052DE0}">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21</Pages>
  <Words>11407</Words>
  <Characters>14045</Characters>
  <Lines>413</Lines>
  <Paragraphs>327</Paragraphs>
  <TotalTime>0</TotalTime>
  <ScaleCrop>false</ScaleCrop>
  <LinksUpToDate>false</LinksUpToDate>
  <CharactersWithSpaces>14581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2026-04-27T06:29:00Z</dcterms:created>
  <dc:creator>lenovo</dc:creator>
  <cp:lastModifiedBy>筱笛儿</cp:lastModifiedBy>
  <cp:lastPrinted>2019-07-06T00:52:00Z</cp:lastPrinted>
  <dcterms:modified xsi:type="dcterms:W3CDTF">2026-05-11T13:59:58Z</dcterms:modified>
  <cp:revision>283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RubyTemplateID">
    <vt:lpwstr>6</vt:lpwstr>
  </property>
  <property fmtid="{D5CDD505-2E9C-101B-9397-08002B2CF9AE}" pid="4" name="ICV">
    <vt:lpwstr>491B8DB500B1448FAA550E14EB9A05A8_13</vt:lpwstr>
  </property>
  <property fmtid="{D5CDD505-2E9C-101B-9397-08002B2CF9AE}" pid="5" name="KSOTemplateDocerSaveRecord">
    <vt:lpwstr>eyJoZGlkIjoiMWMxN2FmZWQzNmI2YmY0YzBkMzVkZTRiNzE4NTc4NDMiLCJ1c2VySWQiOiI3MzQ4MzgyNDAifQ==</vt:lpwstr>
  </property>
</Properties>
</file>