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400" w:before="0"/>
        <w:jc w:val="center"/>
      </w:pPr>
      <w:r>
        <w:rPr>
          <w:rFonts w:ascii="Calibri" w:cs="Calibri" w:eastAsia="Calibri" w:hAnsi="Calibri"/>
          <w:b/>
          <w:bCs/>
          <w:sz w:val="72"/>
          <w:szCs w:val="72"/>
        </w:rPr>
        <w:t xml:space="preserve">EmotionArt – Reaction-Diffusion Development Report</w:t>
      </w:r>
    </w:p>
    <w:p>
      <w:pPr>
        <w:spacing w:after="300" w:before="0"/>
        <w:jc w:val="center"/>
      </w:pPr>
      <w:r>
        <w:rPr>
          <w:rFonts w:ascii="Calibri" w:cs="Calibri" w:eastAsia="Calibri" w:hAnsi="Calibri"/>
          <w:sz w:val="36"/>
          <w:szCs w:val="36"/>
        </w:rPr>
        <w:t xml:space="preserve">Technical Development Log | April 2026</w:t>
      </w:r>
    </w:p>
    <w:p>
      <w:pPr>
        <w:spacing w:after="0" w:before="0"/>
        <w:jc w:val="center"/>
      </w:pPr>
      <w:r>
        <w:rPr>
          <w:rFonts w:ascii="Calibri" w:cs="Calibri" w:eastAsia="Calibri" w:hAnsi="Calibri"/>
          <w:sz w:val="28"/>
          <w:szCs w:val="28"/>
        </w:rPr>
        <w:t xml:space="preserve">Matteo Goldsmith</w:t>
      </w:r>
    </w:p>
    <w:p>
      <w:r>
        <w:br w:type="page"/>
      </w:r>
    </w:p>
    <w:p>
      <w:pPr>
        <w:pStyle w:val="Heading1"/>
        <w:spacing w:after="160" w:before="300"/>
      </w:pPr>
      <w:r>
        <w:rPr>
          <w:rFonts w:ascii="Calibri" w:cs="Calibri" w:eastAsia="Calibri" w:hAnsi="Calibri"/>
          <w:b/>
          <w:bCs/>
          <w:sz w:val="32"/>
          <w:szCs w:val="32"/>
        </w:rPr>
        <w:t xml:space="preserve">1. Project Overview</w:t>
      </w:r>
    </w:p>
    <w:p>
      <w:pPr>
        <w:spacing w:after="160" w:line="276" w:lineRule="auto"/>
      </w:pPr>
      <w:r>
        <w:rPr>
          <w:rFonts w:ascii="Calibri" w:cs="Calibri" w:eastAsia="Calibri" w:hAnsi="Calibri"/>
          <w:sz w:val="24"/>
          <w:szCs w:val="24"/>
        </w:rPr>
        <w:t xml:space="preserve">EmotionArt is a third-year university project that visualises detected emotions as generative digital art. It is a Flask-based web application with multiple art modules — each page responds to speech or text input by classifying emotions using a HuggingFace transformer model, then driving a unique visual effect. The page in focus for this session is bubbles.html, which implements a Gray-Scott reaction-diffusion simulation rendered entirely in WebGL2 on the GPU.</w:t>
      </w:r>
    </w:p>
    <w:p>
      <w:pPr>
        <w:spacing w:after="160" w:line="276" w:lineRule="auto"/>
      </w:pPr>
      <w:r>
        <w:rPr>
          <w:rFonts w:ascii="Calibri" w:cs="Calibri" w:eastAsia="Calibri" w:hAnsi="Calibri"/>
          <w:sz w:val="24"/>
          <w:szCs w:val="24"/>
        </w:rPr>
        <w:t xml:space="preserve">The simulation reacts to emotion classifications in real time by adjusting its chemical feed and kill rates and colour palette, producing organically evolving patterns whose character mirrors the detected emotion — for example, frantic spreading structures for anger, and slow dissolving forms for sadness. The project demonstrates how generative art can serve as an expressive mirror for human emotion, making internal states visible in a dynamic and aesthetically rich way.</w:t>
      </w:r>
    </w:p>
    <w:p>
      <w:pPr>
        <w:pStyle w:val="Heading1"/>
        <w:spacing w:after="160" w:before="300"/>
      </w:pPr>
      <w:r>
        <w:rPr>
          <w:rFonts w:ascii="Calibri" w:cs="Calibri" w:eastAsia="Calibri" w:hAnsi="Calibri"/>
          <w:b/>
          <w:bCs/>
          <w:sz w:val="32"/>
          <w:szCs w:val="32"/>
        </w:rPr>
        <w:t xml:space="preserve">2. The Gray-Scott Model: Background</w:t>
      </w:r>
    </w:p>
    <w:p>
      <w:pPr>
        <w:spacing w:after="160" w:line="276" w:lineRule="auto"/>
      </w:pPr>
      <w:r>
        <w:rPr>
          <w:rFonts w:ascii="Calibri" w:cs="Calibri" w:eastAsia="Calibri" w:hAnsi="Calibri"/>
          <w:sz w:val="24"/>
          <w:szCs w:val="24"/>
        </w:rPr>
        <w:t xml:space="preserve">The Gray-Scott model is a reaction-diffusion system first studied by Gray and Scott (1983) and later popularised as a visual medium by Pearson (1993). Two virtual chemicals, A and B, diffuse across a two-dimensional grid according to the following coupled partial differential equations:</w:t>
      </w:r>
    </w:p>
    <w:p>
      <w:pPr>
        <w:spacing w:after="80" w:before="80" w:line="276" w:lineRule="auto"/>
        <w:jc w:val="center"/>
      </w:pPr>
      <w:r>
        <w:rPr>
          <w:rFonts w:ascii="Courier New" w:cs="Courier New" w:eastAsia="Courier New" w:hAnsi="Courier New"/>
          <w:i/>
          <w:iCs/>
          <w:sz w:val="24"/>
          <w:szCs w:val="24"/>
        </w:rPr>
        <w:t xml:space="preserve">dA/dt = Da × ∇²(A) − A·B² + f·(1−A)</w:t>
      </w:r>
    </w:p>
    <w:p>
      <w:pPr>
        <w:spacing w:after="160" w:before="80" w:line="276" w:lineRule="auto"/>
        <w:jc w:val="center"/>
      </w:pPr>
      <w:r>
        <w:rPr>
          <w:rFonts w:ascii="Courier New" w:cs="Courier New" w:eastAsia="Courier New" w:hAnsi="Courier New"/>
          <w:i/>
          <w:iCs/>
          <w:sz w:val="24"/>
          <w:szCs w:val="24"/>
        </w:rPr>
        <w:t xml:space="preserve">dB/dt = Db × ∇²(B) + A·B² − (f+k)·B</w:t>
      </w:r>
    </w:p>
    <w:p>
      <w:pPr>
        <w:spacing w:after="160" w:line="276" w:lineRule="auto"/>
      </w:pPr>
      <w:r>
        <w:rPr>
          <w:rFonts w:ascii="Calibri" w:cs="Calibri" w:eastAsia="Calibri" w:hAnsi="Calibri"/>
          <w:sz w:val="24"/>
          <w:szCs w:val="24"/>
        </w:rPr>
        <w:t xml:space="preserve">Here, f is the feed rate controlling how quickly chemical A is replenished from an external reservoir, k is the kill rate controlling how quickly chemical B is removed, and Da and Db are the diffusion coefficients governing how rapidly each chemical spreads. The key insight is that small variations in f and k produce qualitatively different pattern families — spots, stripes, worms, coral-like branching, and labyrinthine mazes — without any change to the underlying equations.</w:t>
      </w:r>
    </w:p>
    <w:p>
      <w:pPr>
        <w:spacing w:after="160" w:line="276" w:lineRule="auto"/>
      </w:pPr>
      <w:r>
        <w:rPr>
          <w:rFonts w:ascii="Calibri" w:cs="Calibri" w:eastAsia="Calibri" w:hAnsi="Calibri"/>
          <w:sz w:val="24"/>
          <w:szCs w:val="24"/>
        </w:rPr>
        <w:t xml:space="preserve">In EmotionArt, each of the seven emotion classes maps to a specific (f, k) parameter pair tuned to evoke that emotion’s visual character: anger uses a high feed rate producing rapidly expanding, aggressive structures, while sadness uses a low feed rate that yields slow-dissolving, melancholic forms. The simulation runs as a GPU ping-pong framebuffer scheme — two textures alternate each frame as render target and source, advancing the equations per pixel in a GLSL fragment shader. This allows a 512×512 grid to run at 10 simulation steps per animation frame with no CPU involvement, maintaining smooth real-time performance.</w:t>
      </w:r>
    </w:p>
    <w:p>
      <w:pPr>
        <w:pStyle w:val="Heading1"/>
        <w:spacing w:after="160" w:before="300"/>
      </w:pPr>
      <w:r>
        <w:rPr>
          <w:rFonts w:ascii="Calibri" w:cs="Calibri" w:eastAsia="Calibri" w:hAnsi="Calibri"/>
          <w:b/>
          <w:bCs/>
          <w:sz w:val="32"/>
          <w:szCs w:val="32"/>
        </w:rPr>
        <w:t xml:space="preserve">3. Architecture of the WebGL Pipeline</w:t>
      </w:r>
    </w:p>
    <w:p>
      <w:pPr>
        <w:spacing w:after="160" w:line="276" w:lineRule="auto"/>
      </w:pPr>
      <w:r>
        <w:rPr>
          <w:rFonts w:ascii="Calibri" w:cs="Calibri" w:eastAsia="Calibri" w:hAnsi="Calibri"/>
          <w:sz w:val="24"/>
          <w:szCs w:val="24"/>
        </w:rPr>
        <w:t xml:space="preserve">The rendering pipeline is built from four GLSL fragment shaders, each serving a distinct purpose in the simulation lifecycle.</w:t>
      </w:r>
    </w:p>
    <w:p>
      <w:pPr>
        <w:pStyle w:val="Heading2"/>
        <w:spacing w:after="120" w:before="200"/>
      </w:pPr>
      <w:r>
        <w:rPr>
          <w:rFonts w:ascii="Calibri" w:cs="Calibri" w:eastAsia="Calibri" w:hAnsi="Calibri"/>
          <w:b/>
          <w:bCs/>
          <w:sz w:val="26"/>
          <w:szCs w:val="26"/>
        </w:rPr>
        <w:t xml:space="preserve">3.1 Initialisation Shader (init-fs)</w:t>
      </w:r>
    </w:p>
    <w:p>
      <w:pPr>
        <w:spacing w:after="160" w:line="276" w:lineRule="auto"/>
      </w:pPr>
      <w:r>
        <w:rPr>
          <w:rFonts w:ascii="Calibri" w:cs="Calibri" w:eastAsia="Calibri" w:hAnsi="Calibri"/>
          <w:sz w:val="24"/>
          <w:szCs w:val="24"/>
        </w:rPr>
        <w:t xml:space="preserve">The first shader, init-fs, is a trivial fragment shader that fills both ping-pong textures with A=1.0 and B=0.0 at startup. This represents the homogeneous rest state of the Gray-Scott system — a uniform field of chemical A with no B present. Running this as a GPU draw call avoids the format compatibility issues associated with CPU-to-GPU pixel transfers.</w:t>
      </w:r>
    </w:p>
    <w:p>
      <w:pPr>
        <w:pStyle w:val="Heading2"/>
        <w:spacing w:after="120" w:before="200"/>
      </w:pPr>
      <w:r>
        <w:rPr>
          <w:rFonts w:ascii="Calibri" w:cs="Calibri" w:eastAsia="Calibri" w:hAnsi="Calibri"/>
          <w:b/>
          <w:bCs/>
          <w:sz w:val="26"/>
          <w:szCs w:val="26"/>
        </w:rPr>
        <w:t xml:space="preserve">3.2 Seed Shader (seed-fs)</w:t>
      </w:r>
    </w:p>
    <w:p>
      <w:pPr>
        <w:spacing w:after="160" w:line="276" w:lineRule="auto"/>
      </w:pPr>
      <w:r>
        <w:rPr>
          <w:rFonts w:ascii="Calibri" w:cs="Calibri" w:eastAsia="Calibri" w:hAnsi="Calibri"/>
          <w:sz w:val="24"/>
          <w:szCs w:val="24"/>
        </w:rPr>
        <w:t xml:space="preserve">The second shader, seed-fs, stamps circular patches of (A=0.5, B=0.25) at random positions on the grid. These seeds introduce local concentrations of chemical B, which bootstrap the autocatalytic reaction. Without seeds, the homogeneous state is stable and no patterns emerge. Seeds are injected at startup (25 seeds at radius 8 pixels) and again each time a new emotion analysis arrives, with seed count and radius scaled by emotion intensity.</w:t>
      </w:r>
    </w:p>
    <w:p>
      <w:pPr>
        <w:pStyle w:val="Heading2"/>
        <w:spacing w:after="120" w:before="200"/>
      </w:pPr>
      <w:r>
        <w:rPr>
          <w:rFonts w:ascii="Calibri" w:cs="Calibri" w:eastAsia="Calibri" w:hAnsi="Calibri"/>
          <w:b/>
          <w:bCs/>
          <w:sz w:val="26"/>
          <w:szCs w:val="26"/>
        </w:rPr>
        <w:t xml:space="preserve">3.3 Simulation Shader (sim-fs)</w:t>
      </w:r>
    </w:p>
    <w:p>
      <w:pPr>
        <w:spacing w:after="160" w:line="276" w:lineRule="auto"/>
      </w:pPr>
      <w:r>
        <w:rPr>
          <w:rFonts w:ascii="Calibri" w:cs="Calibri" w:eastAsia="Calibri" w:hAnsi="Calibri"/>
          <w:sz w:val="24"/>
          <w:szCs w:val="24"/>
        </w:rPr>
        <w:t xml:space="preserve">The third shader, sim-fs, performs the Gray-Scott time step. It samples a 3×3 pixel neighbourhood, computes a weighted discrete Laplacian (cardinal neighbours weighted at 0.20, diagonal neighbours at 0.05), and advances A and B by a single forward Euler step. The results are clamped to [0, 1] to prevent numerical blow-up.</w:t>
      </w:r>
    </w:p>
    <w:p>
      <w:pPr>
        <w:pStyle w:val="Heading2"/>
        <w:spacing w:after="120" w:before="200"/>
      </w:pPr>
      <w:r>
        <w:rPr>
          <w:rFonts w:ascii="Calibri" w:cs="Calibri" w:eastAsia="Calibri" w:hAnsi="Calibri"/>
          <w:b/>
          <w:bCs/>
          <w:sz w:val="26"/>
          <w:szCs w:val="26"/>
        </w:rPr>
        <w:t xml:space="preserve">3.4 Render Shader (render-fs)</w:t>
      </w:r>
    </w:p>
    <w:p>
      <w:pPr>
        <w:spacing w:after="160" w:line="276" w:lineRule="auto"/>
      </w:pPr>
      <w:r>
        <w:rPr>
          <w:rFonts w:ascii="Calibri" w:cs="Calibri" w:eastAsia="Calibri" w:hAnsi="Calibri"/>
          <w:sz w:val="24"/>
          <w:szCs w:val="24"/>
        </w:rPr>
        <w:t xml:space="preserve">The fourth shader, render-fs, maps the B-field to screen colour. The background colour is driven by the current emotion’s background palette; the blob colour by its foreground palette. The shader includes edge-gradient normal estimation for Phong-style diffuse and specular lighting, a subtle radial vignette, and filmic tone mapping followed by gamma correction.</w:t>
      </w:r>
    </w:p>
    <w:p>
      <w:pPr>
        <w:pStyle w:val="Heading2"/>
        <w:spacing w:after="120" w:before="200"/>
      </w:pPr>
      <w:r>
        <w:rPr>
          <w:rFonts w:ascii="Calibri" w:cs="Calibri" w:eastAsia="Calibri" w:hAnsi="Calibri"/>
          <w:b/>
          <w:bCs/>
          <w:sz w:val="26"/>
          <w:szCs w:val="26"/>
        </w:rPr>
        <w:t xml:space="preserve">3.5 Ping-Pong Framebuffer Scheme</w:t>
      </w:r>
    </w:p>
    <w:p>
      <w:pPr>
        <w:spacing w:after="160" w:line="276" w:lineRule="auto"/>
      </w:pPr>
      <w:r>
        <w:rPr>
          <w:rFonts w:ascii="Calibri" w:cs="Calibri" w:eastAsia="Calibri" w:hAnsi="Calibri"/>
          <w:sz w:val="24"/>
          <w:szCs w:val="24"/>
        </w:rPr>
        <w:t xml:space="preserve">The ping-pong system uses two WebGL2 textures (texA and texB) with associated framebuffer objects (fboA and fboB). Each simulation pass reads from texA and writes to fboB, after which the variable references are swapped. The render pass reads texA and writes directly to the canvas via the default framebuffer.</w:t>
      </w:r>
    </w:p>
    <w:p>
      <w:pPr>
        <w:pStyle w:val="Heading1"/>
        <w:spacing w:after="160" w:before="300"/>
      </w:pPr>
      <w:r>
        <w:rPr>
          <w:rFonts w:ascii="Calibri" w:cs="Calibri" w:eastAsia="Calibri" w:hAnsi="Calibri"/>
          <w:b/>
          <w:bCs/>
          <w:sz w:val="32"/>
          <w:szCs w:val="32"/>
        </w:rPr>
        <w:t xml:space="preserve">4. Emotion Integration</w:t>
      </w:r>
    </w:p>
    <w:p>
      <w:pPr>
        <w:spacing w:after="160" w:line="276" w:lineRule="auto"/>
      </w:pPr>
      <w:r>
        <w:rPr>
          <w:rFonts w:ascii="Calibri" w:cs="Calibri" w:eastAsia="Calibri" w:hAnsi="Calibri"/>
          <w:sz w:val="24"/>
          <w:szCs w:val="24"/>
        </w:rPr>
        <w:t xml:space="preserve">Each of the seven emotion classes — anger, joy, sadness, fear, surprise, disgust, and neutral — is assigned both a simulation parameter set and a colour palette. The parameter sets were tuned by hand to produce patterns that feel congruent with each emotion:</w:t>
      </w:r>
    </w:p>
    <w:p>
      <w:pPr>
        <w:pStyle w:val="ListParagraph"/>
        <w:numPr>
          <w:ilvl w:val="0"/>
          <w:numId w:val="2"/>
        </w:numPr>
        <w:spacing w:after="100" w:line="276" w:lineRule="auto"/>
      </w:pPr>
      <w:r>
        <w:rPr>
          <w:rFonts w:ascii="Calibri" w:cs="Calibri" w:eastAsia="Calibri" w:hAnsi="Calibri"/>
          <w:sz w:val="24"/>
          <w:szCs w:val="24"/>
        </w:rPr>
        <w:t xml:space="preserve">Anger: rapid, aggressive expansion (f=0.078, k=0.061)</w:t>
      </w:r>
    </w:p>
    <w:p>
      <w:pPr>
        <w:pStyle w:val="ListParagraph"/>
        <w:numPr>
          <w:ilvl w:val="0"/>
          <w:numId w:val="2"/>
        </w:numPr>
        <w:spacing w:after="100" w:line="276" w:lineRule="auto"/>
      </w:pPr>
      <w:r>
        <w:rPr>
          <w:rFonts w:ascii="Calibri" w:cs="Calibri" w:eastAsia="Calibri" w:hAnsi="Calibri"/>
          <w:sz w:val="24"/>
          <w:szCs w:val="24"/>
        </w:rPr>
        <w:t xml:space="preserve">Sadness: slow, barely sustained structures (f=0.014, k=0.054)</w:t>
      </w:r>
    </w:p>
    <w:p>
      <w:pPr>
        <w:pStyle w:val="ListParagraph"/>
        <w:numPr>
          <w:ilvl w:val="0"/>
          <w:numId w:val="2"/>
        </w:numPr>
        <w:spacing w:after="100" w:line="276" w:lineRule="auto"/>
      </w:pPr>
      <w:r>
        <w:rPr>
          <w:rFonts w:ascii="Calibri" w:cs="Calibri" w:eastAsia="Calibri" w:hAnsi="Calibri"/>
          <w:sz w:val="24"/>
          <w:szCs w:val="24"/>
        </w:rPr>
        <w:t xml:space="preserve">Surprise: fast-growing, wide-spreading patterns (f=0.062, k=0.061)</w:t>
      </w:r>
    </w:p>
    <w:p>
      <w:pPr>
        <w:spacing w:after="160" w:line="276" w:lineRule="auto"/>
      </w:pPr>
      <w:r>
        <w:rPr>
          <w:rFonts w:ascii="Calibri" w:cs="Calibri" w:eastAsia="Calibri" w:hAnsi="Calibri"/>
          <w:sz w:val="24"/>
          <w:szCs w:val="24"/>
        </w:rPr>
        <w:t xml:space="preserve">When the user speaks or types, the Flask /analyse endpoint classifies the text using a HuggingFace transformer pipeline and returns scored labels for all seven classes. These scores are processed in several stages before being applied to the simulation.</w:t>
      </w:r>
    </w:p>
    <w:p>
      <w:pPr>
        <w:spacing w:after="160" w:line="276" w:lineRule="auto"/>
      </w:pPr>
      <w:r>
        <w:rPr>
          <w:rFonts w:ascii="Calibri" w:cs="Calibri" w:eastAsia="Calibri" w:hAnsi="Calibri"/>
          <w:sz w:val="24"/>
          <w:szCs w:val="24"/>
        </w:rPr>
        <w:t xml:space="preserve">First, scores are squared to emphasise dominant emotions and suppress weak secondary ones. Second, up to eight recent readings are retained in a history buffer, blended with exponential decay so that older readings contribute progressively less (weighted at 0.6 raised to the power of their age). The decayed blend is then used to interpolate all simulation parameters simultaneously.</w:t>
      </w:r>
    </w:p>
    <w:p>
      <w:pPr>
        <w:spacing w:after="160" w:line="276" w:lineRule="auto"/>
      </w:pPr>
      <w:r>
        <w:rPr>
          <w:rFonts w:ascii="Calibri" w:cs="Calibri" w:eastAsia="Calibri" w:hAnsi="Calibri"/>
          <w:sz w:val="24"/>
          <w:szCs w:val="24"/>
        </w:rPr>
        <w:t xml:space="preserve">Colour targets update in the same blend step. Rather than applying new colours immediately, the current colours drift toward the target at 3% per frame, ensuring seamless transitions even when the detected emotion shifts abruptly. Seed injection on each new analysis scales with emotion intensity: surprise triggers the most seeds and the largest radius, anger next, with sadness triggering the fewest — reinforcing the visual character of each emotion through pattern density as well as shape.</w:t>
      </w:r>
    </w:p>
    <w:p>
      <w:pPr>
        <w:pStyle w:val="Heading1"/>
        <w:spacing w:after="160" w:before="300"/>
      </w:pPr>
      <w:r>
        <w:rPr>
          <w:rFonts w:ascii="Calibri" w:cs="Calibri" w:eastAsia="Calibri" w:hAnsi="Calibri"/>
          <w:b/>
          <w:bCs/>
          <w:sz w:val="32"/>
          <w:szCs w:val="32"/>
        </w:rPr>
        <w:t xml:space="preserve">5. Development Struggles and Debugging</w:t>
      </w:r>
    </w:p>
    <w:p>
      <w:pPr>
        <w:pStyle w:val="Heading2"/>
        <w:spacing w:after="120" w:before="200"/>
      </w:pPr>
      <w:r>
        <w:rPr>
          <w:rFonts w:ascii="Calibri" w:cs="Calibri" w:eastAsia="Calibri" w:hAnsi="Calibri"/>
          <w:b/>
          <w:bCs/>
          <w:sz w:val="26"/>
          <w:szCs w:val="26"/>
        </w:rPr>
        <w:t xml:space="preserve">5.1 The Persistent Black Screen</w:t>
      </w:r>
    </w:p>
    <w:p>
      <w:pPr>
        <w:spacing w:after="160" w:line="276" w:lineRule="auto"/>
      </w:pPr>
      <w:r>
        <w:rPr>
          <w:rFonts w:ascii="Calibri" w:cs="Calibri" w:eastAsia="Calibri" w:hAnsi="Calibri"/>
          <w:sz w:val="24"/>
          <w:szCs w:val="24"/>
        </w:rPr>
        <w:t xml:space="preserve">The central problem throughout this development session was that the canvas rendered nothing but black. The WebGL2 context initialised successfully, all four shaders compiled and linked without errors, and the framebuffer objects reported as complete — yet the canvas remained entirely dark regardless of what was typed or spoken. Resolving this required a systematic elimination of possible failure points across multiple iterations.</w:t>
      </w:r>
    </w:p>
    <w:p>
      <w:pPr>
        <w:pStyle w:val="Heading2"/>
        <w:spacing w:after="120" w:before="200"/>
      </w:pPr>
      <w:r>
        <w:rPr>
          <w:rFonts w:ascii="Calibri" w:cs="Calibri" w:eastAsia="Calibri" w:hAnsi="Calibri"/>
          <w:b/>
          <w:bCs/>
          <w:sz w:val="26"/>
          <w:szCs w:val="26"/>
        </w:rPr>
        <w:t xml:space="preserve">5.2 First Attempts: CPU-Side Seed Injection</w:t>
      </w:r>
    </w:p>
    <w:p>
      <w:pPr>
        <w:spacing w:after="160" w:line="276" w:lineRule="auto"/>
      </w:pPr>
      <w:r>
        <w:rPr>
          <w:rFonts w:ascii="Calibri" w:cs="Calibri" w:eastAsia="Calibri" w:hAnsi="Calibri"/>
          <w:sz w:val="24"/>
          <w:szCs w:val="24"/>
        </w:rPr>
        <w:t xml:space="preserve">Early versions of the simulation attempted to inject seed state using the WebGL texSubImage2D function with a Float32Array — writing initial A and B values directly from the CPU into the RGBA32F texture. This approach failed silently. The RGBA32F internal format requires the EXT_color_buffer_float extension to be renderable, and the CPU-to-GPU pixel transfer path has additional format restrictions that differ across drivers and GPU vendors. The texture appeared to allocate correctly but the written values were not preserved, meaning the seeds were never present when the simulation shaders ran.</w:t>
      </w:r>
    </w:p>
    <w:p>
      <w:pPr>
        <w:pStyle w:val="Heading2"/>
        <w:spacing w:after="120" w:before="200"/>
      </w:pPr>
      <w:r>
        <w:rPr>
          <w:rFonts w:ascii="Calibri" w:cs="Calibri" w:eastAsia="Calibri" w:hAnsi="Calibri"/>
          <w:b/>
          <w:bCs/>
          <w:sz w:val="26"/>
          <w:szCs w:val="26"/>
        </w:rPr>
        <w:t xml:space="preserve">5.3 Shader-Based Seeding</w:t>
      </w:r>
    </w:p>
    <w:p>
      <w:pPr>
        <w:spacing w:after="160" w:line="276" w:lineRule="auto"/>
      </w:pPr>
      <w:r>
        <w:rPr>
          <w:rFonts w:ascii="Calibri" w:cs="Calibri" w:eastAsia="Calibri" w:hAnsi="Calibri"/>
          <w:sz w:val="24"/>
          <w:szCs w:val="24"/>
        </w:rPr>
        <w:t xml:space="preserve">To eliminate the CPU transfer as a variable, the approach was refactored so that all texture writes happen via GPU draw calls. An init shader fills both textures at startup by rendering a solid colour (A=1, B=0) into each framebuffer. A dedicated seed shader stamps circular patches by drawing a full-screen quad and discarding pixels whose distance from a given centre exceeds the desired radius. This approach is format-agnostic and worked reliably, but the canvas remained black, indicating the root cause lay elsewhere.</w:t>
      </w:r>
    </w:p>
    <w:p>
      <w:pPr>
        <w:pStyle w:val="Heading2"/>
        <w:spacing w:after="120" w:before="200"/>
      </w:pPr>
      <w:r>
        <w:rPr>
          <w:rFonts w:ascii="Calibri" w:cs="Calibri" w:eastAsia="Calibri" w:hAnsi="Calibri"/>
          <w:b/>
          <w:bCs/>
          <w:sz w:val="26"/>
          <w:szCs w:val="26"/>
        </w:rPr>
        <w:t xml:space="preserve">5.4 Framebuffer Completeness Checks</w:t>
      </w:r>
    </w:p>
    <w:p>
      <w:pPr>
        <w:spacing w:after="160" w:line="276" w:lineRule="auto"/>
      </w:pPr>
      <w:r>
        <w:rPr>
          <w:rFonts w:ascii="Calibri" w:cs="Calibri" w:eastAsia="Calibri" w:hAnsi="Calibri"/>
          <w:sz w:val="24"/>
          <w:szCs w:val="24"/>
        </w:rPr>
        <w:t xml:space="preserve">A checkFramebufferStatus call was added after each framebuffer object was created. Both returned FRAMEBUFFER_COMPLETE, ruling out incomplete attachment as a cause. Console logging was extended to report the detected texture format (RGBA32F or RGBA8 fallback) and confirm the two FBO completeness checks. The simulation appeared structurally sound.</w:t>
      </w:r>
    </w:p>
    <w:p>
      <w:pPr>
        <w:pStyle w:val="Heading2"/>
        <w:spacing w:after="120" w:before="200"/>
      </w:pPr>
      <w:r>
        <w:rPr>
          <w:rFonts w:ascii="Calibri" w:cs="Calibri" w:eastAsia="Calibri" w:hAnsi="Calibri"/>
          <w:b/>
          <w:bCs/>
          <w:sz w:val="26"/>
          <w:szCs w:val="26"/>
        </w:rPr>
        <w:t xml:space="preserve">5.5 The Root Cause: OES_texture_float_linear</w:t>
      </w:r>
    </w:p>
    <w:p>
      <w:pPr>
        <w:spacing w:after="160" w:line="276" w:lineRule="auto"/>
      </w:pPr>
      <w:r>
        <w:rPr>
          <w:rFonts w:ascii="Calibri" w:cs="Calibri" w:eastAsia="Calibri" w:hAnsi="Calibri"/>
          <w:sz w:val="24"/>
          <w:szCs w:val="24"/>
        </w:rPr>
        <w:t xml:space="preserve">The breakthrough came from adding pixel readback diagnostics directly after the init and seed passes. A readPixels call on fboA at coordinate [256, 256] after the init pass correctly returned (1.0, 0.0, 0.0, 1.0), confirming A=1 and B=0 as expected. However, the same readback after the seed pass returned (0.0, 0.0, 0.0, 0.0) — not just at the seeded centre but everywhere, including corners that no seed circle could have reached.</w:t>
      </w:r>
    </w:p>
    <w:p>
      <w:pPr>
        <w:spacing w:after="160" w:line="276" w:lineRule="auto"/>
      </w:pPr>
      <w:r>
        <w:rPr>
          <w:rFonts w:ascii="Calibri" w:cs="Calibri" w:eastAsia="Calibri" w:hAnsi="Calibri"/>
          <w:sz w:val="24"/>
          <w:szCs w:val="24"/>
        </w:rPr>
        <w:t xml:space="preserve">This meant the seed shader’s texture2D(u_prev, uv) call was returning vec4(0.0) for every texel — the input texture was being read as all-zero. The reason is a subtle WebGL extension split: in WebGL2, RGBA32F textures can be used as render targets via EXT_color_buffer_float, but LINEAR filtering of those same textures is governed by a completely separate extension, OES_texture_float_linear. Without this second extension, any sampler using LINEAR mag or min filtering on a float texture silently returns zero rather than producing an error. Since all four shader passes used gl.LINEAR texture parameters, the seed shader was reading zero from the correctly initialised texture, preserving zero values everywhere, and the simulation had no state to evolve from.</w:t>
      </w:r>
    </w:p>
    <w:p>
      <w:pPr>
        <w:spacing w:after="160" w:line="276" w:lineRule="auto"/>
      </w:pPr>
      <w:r>
        <w:rPr>
          <w:rFonts w:ascii="Calibri" w:cs="Calibri" w:eastAsia="Calibri" w:hAnsi="Calibri"/>
          <w:sz w:val="24"/>
          <w:szCs w:val="24"/>
        </w:rPr>
        <w:t xml:space="preserve">The fix was straightforward once the cause was identified. At startup, the code now checks for OES_texture_float_linear in addition to EXT_color_buffer_float. If the linear float extension is absent, all textures are created with gl.NEAREST filtering instead. For the simulation passes this is functionally identical — they sample at exact integer pixel centres, where NEAREST and LINEAR give the same result. For the final render pass, NEAREST filtering means the 512×512 simulation grid is point-sampled onto the larger display canvas, producing a faintly pixelated appearance at very high zoom, but invisible at normal viewing distances.</w:t>
      </w:r>
    </w:p>
    <w:p>
      <w:pPr>
        <w:pStyle w:val="Heading2"/>
        <w:spacing w:after="120" w:before="200"/>
      </w:pPr>
      <w:r>
        <w:rPr>
          <w:rFonts w:ascii="Calibri" w:cs="Calibri" w:eastAsia="Calibri" w:hAnsi="Calibri"/>
          <w:b/>
          <w:bCs/>
          <w:sz w:val="26"/>
          <w:szCs w:val="26"/>
        </w:rPr>
        <w:t xml:space="preserve">5.6 Render Shader Visibility</w:t>
      </w:r>
    </w:p>
    <w:p>
      <w:pPr>
        <w:spacing w:after="160" w:line="276" w:lineRule="auto"/>
      </w:pPr>
      <w:r>
        <w:rPr>
          <w:rFonts w:ascii="Calibri" w:cs="Calibri" w:eastAsia="Calibri" w:hAnsi="Calibri"/>
          <w:sz w:val="24"/>
          <w:szCs w:val="24"/>
        </w:rPr>
        <w:t xml:space="preserve">A secondary issue, discovered in parallel, was that the render shader itself was too dark to show meaningful output even if the simulation had been running. The background colour was computed as u_colA multiplied by 0.15 plus a small constant, then multiplied again by a diffuse lighting coefficient — producing values below 0.05 across all channels. After filmic tone mapping, these values compressed to near-invisible.</w:t>
      </w:r>
    </w:p>
    <w:p>
      <w:pPr>
        <w:spacing w:after="160" w:line="276" w:lineRule="auto"/>
      </w:pPr>
      <w:r>
        <w:rPr>
          <w:rFonts w:ascii="Calibri" w:cs="Calibri" w:eastAsia="Calibri" w:hAnsi="Calibri"/>
          <w:sz w:val="24"/>
          <w:szCs w:val="24"/>
        </w:rPr>
        <w:t xml:space="preserve">The shader was rewritten with a minimum background brightness floor of 0.06 per channel, a wider smoothstep range for the blob mask (from the original 0.08-to-0.45 to 0.05-to-0.55, capturing more partial-B pixels), and lighting applied exclusively to blob regions rather than dimming the entire image uniformly.</w:t>
      </w:r>
    </w:p>
    <w:p>
      <w:pPr>
        <w:pStyle w:val="Heading1"/>
        <w:spacing w:after="160" w:before="300"/>
      </w:pPr>
      <w:r>
        <w:rPr>
          <w:rFonts w:ascii="Calibri" w:cs="Calibri" w:eastAsia="Calibri" w:hAnsi="Calibri"/>
          <w:b/>
          <w:bCs/>
          <w:sz w:val="32"/>
          <w:szCs w:val="32"/>
        </w:rPr>
        <w:t xml:space="preserve">6. Final State and Code Quality</w:t>
      </w:r>
    </w:p>
    <w:p>
      <w:pPr>
        <w:spacing w:after="160" w:line="276" w:lineRule="auto"/>
      </w:pPr>
      <w:r>
        <w:rPr>
          <w:rFonts w:ascii="Calibri" w:cs="Calibri" w:eastAsia="Calibri" w:hAnsi="Calibri"/>
          <w:sz w:val="24"/>
          <w:szCs w:val="24"/>
        </w:rPr>
        <w:t xml:space="preserve">With the OES_texture_float_linear fix applied, the Gray-Scott simulation runs correctly and visibly. The render loop confirmed firing on the first animation frame, and frame-count logging verified sustained rendering beyond 30 frames without interruption. On every page load, the console now reports the texture format in use, the selected filter mode, FBO completeness for both buffers, and pixel values read back after the init and seed passes — providing a clear diagnostic trail for future cross-browser or cross-GPU testing.</w:t>
      </w:r>
    </w:p>
    <w:p>
      <w:pPr>
        <w:spacing w:after="160" w:line="276" w:lineRule="auto"/>
      </w:pPr>
      <w:r>
        <w:rPr>
          <w:rFonts w:ascii="Calibri" w:cs="Calibri" w:eastAsia="Calibri" w:hAnsi="Calibri"/>
          <w:sz w:val="24"/>
          <w:szCs w:val="24"/>
        </w:rPr>
        <w:t xml:space="preserve">As a final housekeeping step, all decorative comment delimiters of the form // --- Section --- were removed from both the HTML script block tags and the inline JavaScript section headers, replaced with plain comments. This preserves navigational clarity while removing visual noise that adds no semantic value.</w:t>
      </w:r>
    </w:p>
    <w:p>
      <w:pPr>
        <w:spacing w:after="160" w:line="276" w:lineRule="auto"/>
      </w:pPr>
      <w:r>
        <w:rPr>
          <w:rFonts w:ascii="Calibri" w:cs="Calibri" w:eastAsia="Calibri" w:hAnsi="Calibri"/>
          <w:sz w:val="24"/>
          <w:szCs w:val="24"/>
        </w:rPr>
        <w:t xml:space="preserve">All changes were committed to the shared GitHub repository under the EmotionArt organisation, branch main, in a single atomic commit (74bc1ec) with a message summarising the root cause, all fixes applied, and the cosmetic changes made.</w:t>
      </w:r>
    </w:p>
    <w:p>
      <w:pPr>
        <w:pStyle w:val="Heading1"/>
        <w:spacing w:after="160" w:before="300"/>
      </w:pPr>
      <w:r>
        <w:rPr>
          <w:rFonts w:ascii="Calibri" w:cs="Calibri" w:eastAsia="Calibri" w:hAnsi="Calibri"/>
          <w:b/>
          <w:bCs/>
          <w:sz w:val="32"/>
          <w:szCs w:val="32"/>
        </w:rPr>
        <w:t xml:space="preserve">7. References</w:t>
      </w:r>
    </w:p>
    <w:p>
      <w:pPr>
        <w:spacing w:after="160" w:line="276" w:lineRule="auto"/>
        <w:ind w:left="720" w:hanging="720"/>
      </w:pPr>
      <w:r>
        <w:rPr>
          <w:rFonts w:ascii="Calibri" w:cs="Calibri" w:eastAsia="Calibri" w:hAnsi="Calibri"/>
          <w:sz w:val="24"/>
          <w:szCs w:val="24"/>
        </w:rPr>
        <w:t xml:space="preserve">Gray, P. and Scott, S.K. (1983). Autocatalytic reactions in the isothermal, continuous stirred tank reactor. Chemical Engineering Science, 38(1), pp.29–43.</w:t>
      </w:r>
    </w:p>
    <w:p>
      <w:pPr>
        <w:spacing w:after="160" w:line="276" w:lineRule="auto"/>
        <w:ind w:left="720" w:hanging="720"/>
      </w:pPr>
      <w:r>
        <w:rPr>
          <w:rFonts w:ascii="Calibri" w:cs="Calibri" w:eastAsia="Calibri" w:hAnsi="Calibri"/>
          <w:sz w:val="24"/>
          <w:szCs w:val="24"/>
        </w:rPr>
        <w:t xml:space="preserve">Pearson, J.E. (1993). Complex Patterns in a Simple System. Science, 261(5118), pp.189–192.</w:t>
      </w:r>
    </w:p>
    <w:p>
      <w:pPr>
        <w:spacing w:after="160" w:line="276" w:lineRule="auto"/>
        <w:ind w:left="720" w:hanging="720"/>
      </w:pPr>
      <w:r>
        <w:rPr>
          <w:rFonts w:ascii="Calibri" w:cs="Calibri" w:eastAsia="Calibri" w:hAnsi="Calibri"/>
          <w:sz w:val="24"/>
          <w:szCs w:val="24"/>
        </w:rPr>
        <w:t xml:space="preserve">Khronos Group (2022). WebGL 2.0 Specification. Available at: https://www.khronos.org/registry/webgl/specs/latest/2.0/</w:t>
      </w:r>
    </w:p>
    <w:p>
      <w:pPr>
        <w:spacing w:after="160" w:line="276" w:lineRule="auto"/>
        <w:ind w:left="720" w:hanging="720"/>
      </w:pPr>
      <w:r>
        <w:rPr>
          <w:rFonts w:ascii="Calibri" w:cs="Calibri" w:eastAsia="Calibri" w:hAnsi="Calibri"/>
          <w:sz w:val="24"/>
          <w:szCs w:val="24"/>
        </w:rPr>
        <w:t xml:space="preserve">Khronos Group. OES_texture_float_linear Extension Registry. Available at: https://www.khronos.org/registry/webgl/extensions/OES_texture_float_linear/</w:t>
      </w:r>
    </w:p>
    <w:p>
      <w:pPr>
        <w:spacing w:after="160" w:line="276" w:lineRule="auto"/>
        <w:ind w:left="720" w:hanging="720"/>
      </w:pPr>
      <w:r>
        <w:rPr>
          <w:rFonts w:ascii="Calibri" w:cs="Calibri" w:eastAsia="Calibri" w:hAnsi="Calibri"/>
          <w:sz w:val="24"/>
          <w:szCs w:val="24"/>
        </w:rPr>
        <w:t xml:space="preserve">Khronos Group. EXT_color_buffer_float Extension Registry. Available at: https://www.khronos.org/registry/webgl/extensions/EXT_color_buffer_float/</w:t>
      </w:r>
    </w:p>
    <w:p>
      <w:pPr>
        <w:spacing w:after="160" w:line="276" w:lineRule="auto"/>
        <w:ind w:left="720" w:hanging="720"/>
      </w:pPr>
      <w:r>
        <w:rPr>
          <w:rFonts w:ascii="Calibri" w:cs="Calibri" w:eastAsia="Calibri" w:hAnsi="Calibri"/>
          <w:sz w:val="24"/>
          <w:szCs w:val="24"/>
        </w:rPr>
        <w:t xml:space="preserve">Shiffman, D. (2012). The Nature of Code. Chapter 8: Fractals. Available at: https://natureofcode.com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2026-04-14T21:40:17.388Z</dcterms:created>
  <dcterms:modified xsi:type="dcterms:W3CDTF">2026-04-14T21:40:17.390Z</dcterms:modified>
</cp:coreProperties>
</file>

<file path=docProps/custom.xml><?xml version="1.0" encoding="utf-8"?>
<Properties xmlns="http://schemas.openxmlformats.org/officeDocument/2006/custom-properties" xmlns:vt="http://schemas.openxmlformats.org/officeDocument/2006/docPropsVTypes"/>
</file>