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F3A5F"/>
          <w:sz w:val="32"/>
        </w:rPr>
        <w:t>Assignment 2: The Cost of Being Wrong</w:t>
      </w:r>
    </w:p>
    <w:p>
      <w:pPr>
        <w:spacing w:after="140"/>
        <w:jc w:val="center"/>
      </w:pPr>
      <w:r>
        <w:rPr>
          <w:rFonts w:ascii="Calibri" w:hAnsi="Calibri"/>
          <w:i/>
          <w:color w:val="555555"/>
          <w:sz w:val="19"/>
        </w:rPr>
        <w:t>DSA 8401 Applied Machine Learning | Repository: a2-models</w:t>
      </w:r>
    </w:p>
    <w:p>
      <w:pPr>
        <w:spacing w:before="0" w:after="64" w:line="240" w:lineRule="auto"/>
      </w:pPr>
      <w:r>
        <w:rPr>
          <w:rFonts w:ascii="Calibri" w:hAnsi="Calibri"/>
          <w:sz w:val="20"/>
        </w:rPr>
        <w:t>This submission reuses Assignment 1's mobile-money fraud-scoring pipeline exactly as built (180,000 leak-free transactions, 3,991 customers, 18 engineered features, is_fraud target). A1 is a fraud-detection task, not a loan-approval dataset, so the assignment's borrower/default vocabulary is mapped one-for-one onto it throughout: 'default' = a fraudulent transaction (observed base rate 8.41%, not exactly 4%, reported honestly rather than forced to match); 'approve' = let a transaction proceed unflagged; 'wrongly reject a good borrower' = flag a legitimate transaction for review. The cost values from the brief are used as given: a missed default (missed fraud, a false negative) costs KES 10,000; a wrongly rejected good borrower (a wrongly flagged legitimate transaction, a false positive) costs KES 800 -- a 12.5x asymmetry.</w:t>
      </w:r>
    </w:p>
    <w:p>
      <w:pPr>
        <w:spacing w:before="40" w:after="80"/>
      </w:pPr>
      <w:r>
        <w:rPr>
          <w:rFonts w:ascii="Calibri" w:hAnsi="Calibri"/>
          <w:b/>
          <w:color w:val="1F3A5F"/>
          <w:sz w:val="26"/>
        </w:rPr>
        <w:t>1. Evaluation Plan</w:t>
      </w:r>
    </w:p>
    <w:p>
      <w:pPr>
        <w:spacing w:before="0" w:after="64" w:line="240" w:lineRule="auto"/>
      </w:pPr>
      <w:r>
        <w:rPr>
          <w:rFonts w:ascii="Calibri" w:hAnsi="Calibri"/>
          <w:b/>
          <w:sz w:val="20"/>
        </w:rPr>
        <w:t>Validation uses</w:t>
      </w:r>
      <w:r>
        <w:rPr>
          <w:rFonts w:ascii="Calibri" w:hAnsi="Calibri"/>
          <w:sz w:val="20"/>
        </w:rPr>
        <w:t xml:space="preserve"> a purged, blocked, expanding-window time-series split (5 folds): the frame is sorted by transaction time, each fold trains on every transaction up to a cutoff and tests on the following block, and a 3-day embargo immediately before each test block is purged from training to remove the border overlap a plain chronological split would leave. No fold ever sees a transaction before training on transactions that precede it in time.</w:t>
      </w:r>
    </w:p>
    <w:p>
      <w:pPr>
        <w:spacing w:before="0" w:after="64" w:line="240" w:lineRule="auto"/>
      </w:pPr>
      <w:r>
        <w:rPr>
          <w:rFonts w:ascii="Calibri" w:hAnsi="Calibri"/>
          <w:b/>
          <w:sz w:val="20"/>
        </w:rPr>
        <w:t>Disclosed limitation:</w:t>
      </w:r>
      <w:r>
        <w:rPr>
          <w:rFonts w:ascii="Calibri" w:hAnsi="Calibri"/>
          <w:sz w:val="20"/>
        </w:rPr>
        <w:t xml:space="preserve"> several A1 features (recency_days, frequency_90d, tenure_days, cashout_ratio and others) are customer-level aggregates computed once from each customer's entire history relative to a single global scoring timestamp, not recomputed at each transaction's own time. Because customers transact throughout the whole 18-month window, average customer overlap between each fold's train and test set is 99.8% (see cv_diagnostics.csv) -- a given customer's earlier rows already encode information from their later behaviour. Purging by time cannot fix this without re-deriving point-in-time features, which would violate the 'use A1's output exactly as it was' constraint, so the honest choice was to measure and disclose it rather than present the split as fully leak-free.</w:t>
      </w:r>
    </w:p>
    <w:p>
      <w:pPr>
        <w:spacing w:before="0" w:after="64" w:line="240" w:lineRule="auto"/>
      </w:pPr>
      <w:r>
        <w:rPr>
          <w:rFonts w:ascii="Calibri" w:hAnsi="Calibri"/>
          <w:b/>
          <w:sz w:val="20"/>
        </w:rPr>
        <w:t>PR-AUC is</w:t>
      </w:r>
      <w:r>
        <w:rPr>
          <w:rFonts w:ascii="Calibri" w:hAnsi="Calibri"/>
          <w:sz w:val="20"/>
        </w:rPr>
        <w:t xml:space="preserve"> the headline metric, not ROC-AUC. At an 8.4% fraud rate, the negative class dominates the confusion matrix, so a classifier can rack up a high true-negative rate (and hence a flattering ROC-AUC) while still missing most of the rare, expensive positives; ROC-AUC's false-positive-rate axis is diluted by the huge negative denominator. Precision-Recall focuses on the positive class directly, so it moves when the model actually gets better at finding fraud instead of merely being correct about the easy majority.</w:t>
      </w:r>
    </w:p>
    <w:p>
      <w:r>
        <w:br w:type="page"/>
      </w:r>
    </w:p>
    <w:p>
      <w:pPr>
        <w:spacing w:before="40" w:after="80"/>
      </w:pPr>
      <w:r>
        <w:rPr>
          <w:rFonts w:ascii="Calibri" w:hAnsi="Calibri"/>
          <w:b/>
          <w:color w:val="1F3A5F"/>
          <w:sz w:val="26"/>
        </w:rPr>
        <w:t>2. Ladder of Models: Bias vs. Variance</w:t>
      </w:r>
    </w:p>
    <w:p>
      <w:pPr>
        <w:spacing w:before="0" w:after="64" w:line="240" w:lineRule="auto"/>
      </w:pPr>
      <w:r>
        <w:rPr>
          <w:rFonts w:ascii="Calibri" w:hAnsi="Calibri"/>
          <w:sz w:val="20"/>
        </w:rPr>
        <w:t>Regularised logistic regression, a random forest and XGBoost were compared on the identical five purged folds (class-weighted, untuned defaults, so the comparison isolates model family, not tuning effort).</w:t>
      </w:r>
    </w:p>
    <w:tbl>
      <w:tblPr>
        <w:tblStyle w:val="TableGrid"/>
        <w:tblW w:type="auto" w:w="0"/>
        <w:jc w:val="center"/>
        <w:tblLook w:firstColumn="1" w:firstRow="1" w:lastColumn="0" w:lastRow="0" w:noHBand="0" w:noVBand="1" w:val="04A0"/>
      </w:tblPr>
      <w:tblGrid>
        <w:gridCol w:w="3551"/>
        <w:gridCol w:w="3551"/>
        <w:gridCol w:w="3551"/>
      </w:tblGrid>
      <w:tr>
        <w:tc>
          <w:tcPr>
            <w:tcW w:type="dxa" w:w="3175"/>
            <w:vAlign w:val="center"/>
          </w:tcPr>
          <w:p>
            <w:pPr>
              <w:spacing w:after="0"/>
            </w:pPr>
            <w:r>
              <w:rPr>
                <w:rFonts w:ascii="Calibri" w:hAnsi="Calibri"/>
                <w:b/>
                <w:color w:val="1F3A5F"/>
                <w:sz w:val="16"/>
              </w:rPr>
              <w:t>Model</w:t>
            </w:r>
          </w:p>
        </w:tc>
        <w:tc>
          <w:tcPr>
            <w:tcW w:type="dxa" w:w="2608"/>
            <w:vAlign w:val="center"/>
          </w:tcPr>
          <w:p>
            <w:pPr>
              <w:spacing w:after="0"/>
            </w:pPr>
            <w:r>
              <w:rPr>
                <w:rFonts w:ascii="Calibri" w:hAnsi="Calibri"/>
                <w:b/>
                <w:color w:val="1F3A5F"/>
                <w:sz w:val="16"/>
              </w:rPr>
              <w:t>PR-AUC (mean +/- std)</w:t>
            </w:r>
          </w:p>
        </w:tc>
        <w:tc>
          <w:tcPr>
            <w:tcW w:type="dxa" w:w="2608"/>
            <w:vAlign w:val="center"/>
          </w:tcPr>
          <w:p>
            <w:pPr>
              <w:spacing w:after="0"/>
            </w:pPr>
            <w:r>
              <w:rPr>
                <w:rFonts w:ascii="Calibri" w:hAnsi="Calibri"/>
                <w:b/>
                <w:color w:val="1F3A5F"/>
                <w:sz w:val="16"/>
              </w:rPr>
              <w:t>ROC-AUC (mean +/- std)</w:t>
            </w:r>
          </w:p>
        </w:tc>
      </w:tr>
      <w:tr>
        <w:tc>
          <w:tcPr>
            <w:tcW w:type="dxa" w:w="3175"/>
            <w:vAlign w:val="top"/>
          </w:tcPr>
          <w:p>
            <w:pPr>
              <w:spacing w:after="0" w:line="221" w:lineRule="auto"/>
            </w:pPr>
            <w:r>
              <w:rPr>
                <w:rFonts w:ascii="Calibri" w:hAnsi="Calibri"/>
                <w:sz w:val="15"/>
              </w:rPr>
              <w:t>Logistic regression (L2, balanced)</w:t>
            </w:r>
          </w:p>
        </w:tc>
        <w:tc>
          <w:tcPr>
            <w:tcW w:type="dxa" w:w="2608"/>
            <w:vAlign w:val="top"/>
          </w:tcPr>
          <w:p>
            <w:pPr>
              <w:spacing w:after="0" w:line="221" w:lineRule="auto"/>
            </w:pPr>
            <w:r>
              <w:rPr>
                <w:rFonts w:ascii="Calibri" w:hAnsi="Calibri"/>
                <w:sz w:val="15"/>
              </w:rPr>
              <w:t>0.1342 +/- 0.0033</w:t>
            </w:r>
          </w:p>
        </w:tc>
        <w:tc>
          <w:tcPr>
            <w:tcW w:type="dxa" w:w="2608"/>
            <w:vAlign w:val="top"/>
          </w:tcPr>
          <w:p>
            <w:pPr>
              <w:spacing w:after="0" w:line="221" w:lineRule="auto"/>
            </w:pPr>
            <w:r>
              <w:rPr>
                <w:rFonts w:ascii="Calibri" w:hAnsi="Calibri"/>
                <w:sz w:val="15"/>
              </w:rPr>
              <w:t>0.6250 +/- 0.0055</w:t>
            </w:r>
          </w:p>
        </w:tc>
      </w:tr>
      <w:tr>
        <w:tc>
          <w:tcPr>
            <w:tcW w:type="dxa" w:w="3175"/>
            <w:vAlign w:val="top"/>
          </w:tcPr>
          <w:p>
            <w:pPr>
              <w:spacing w:after="0" w:line="221" w:lineRule="auto"/>
            </w:pPr>
            <w:r>
              <w:rPr>
                <w:rFonts w:ascii="Calibri" w:hAnsi="Calibri"/>
                <w:sz w:val="15"/>
              </w:rPr>
              <w:t>Random forest (balanced)</w:t>
            </w:r>
          </w:p>
        </w:tc>
        <w:tc>
          <w:tcPr>
            <w:tcW w:type="dxa" w:w="2608"/>
            <w:vAlign w:val="top"/>
          </w:tcPr>
          <w:p>
            <w:pPr>
              <w:spacing w:after="0" w:line="221" w:lineRule="auto"/>
            </w:pPr>
            <w:r>
              <w:rPr>
                <w:rFonts w:ascii="Calibri" w:hAnsi="Calibri"/>
                <w:sz w:val="15"/>
              </w:rPr>
              <w:t>0.1085 +/- 0.0039</w:t>
            </w:r>
          </w:p>
        </w:tc>
        <w:tc>
          <w:tcPr>
            <w:tcW w:type="dxa" w:w="2608"/>
            <w:vAlign w:val="top"/>
          </w:tcPr>
          <w:p>
            <w:pPr>
              <w:spacing w:after="0" w:line="221" w:lineRule="auto"/>
            </w:pPr>
            <w:r>
              <w:rPr>
                <w:rFonts w:ascii="Calibri" w:hAnsi="Calibri"/>
                <w:sz w:val="15"/>
              </w:rPr>
              <w:t>0.5764 +/- 0.0087</w:t>
            </w:r>
          </w:p>
        </w:tc>
      </w:tr>
      <w:tr>
        <w:tc>
          <w:tcPr>
            <w:tcW w:type="dxa" w:w="3175"/>
            <w:vAlign w:val="top"/>
          </w:tcPr>
          <w:p>
            <w:pPr>
              <w:spacing w:after="0" w:line="221" w:lineRule="auto"/>
            </w:pPr>
            <w:r>
              <w:rPr>
                <w:rFonts w:ascii="Calibri" w:hAnsi="Calibri"/>
                <w:sz w:val="15"/>
              </w:rPr>
              <w:t>XGBoost (untuned)</w:t>
            </w:r>
          </w:p>
        </w:tc>
        <w:tc>
          <w:tcPr>
            <w:tcW w:type="dxa" w:w="2608"/>
            <w:vAlign w:val="top"/>
          </w:tcPr>
          <w:p>
            <w:pPr>
              <w:spacing w:after="0" w:line="221" w:lineRule="auto"/>
            </w:pPr>
            <w:r>
              <w:rPr>
                <w:rFonts w:ascii="Calibri" w:hAnsi="Calibri"/>
                <w:sz w:val="15"/>
              </w:rPr>
              <w:t>0.1214 +/- 0.0053</w:t>
            </w:r>
          </w:p>
        </w:tc>
        <w:tc>
          <w:tcPr>
            <w:tcW w:type="dxa" w:w="2608"/>
            <w:vAlign w:val="top"/>
          </w:tcPr>
          <w:p>
            <w:pPr>
              <w:spacing w:after="0" w:line="221" w:lineRule="auto"/>
            </w:pPr>
            <w:r>
              <w:rPr>
                <w:rFonts w:ascii="Calibri" w:hAnsi="Calibri"/>
                <w:sz w:val="15"/>
              </w:rPr>
              <w:t>0.5910 +/- 0.0128</w:t>
            </w:r>
          </w:p>
        </w:tc>
      </w:tr>
      <w:tr>
        <w:tc>
          <w:tcPr>
            <w:tcW w:type="dxa" w:w="3175"/>
            <w:vAlign w:val="top"/>
          </w:tcPr>
          <w:p>
            <w:pPr>
              <w:spacing w:after="0" w:line="221" w:lineRule="auto"/>
            </w:pPr>
            <w:r>
              <w:rPr>
                <w:rFonts w:ascii="Calibri" w:hAnsi="Calibri"/>
                <w:sz w:val="15"/>
              </w:rPr>
              <w:t>XGBoost (tuned + in-fold SMOTE)</w:t>
            </w:r>
          </w:p>
        </w:tc>
        <w:tc>
          <w:tcPr>
            <w:tcW w:type="dxa" w:w="2608"/>
            <w:vAlign w:val="top"/>
          </w:tcPr>
          <w:p>
            <w:pPr>
              <w:spacing w:after="0" w:line="221" w:lineRule="auto"/>
            </w:pPr>
            <w:r>
              <w:rPr>
                <w:rFonts w:ascii="Calibri" w:hAnsi="Calibri"/>
                <w:sz w:val="15"/>
              </w:rPr>
              <w:t>0.1394 +/- 0.0032</w:t>
            </w:r>
          </w:p>
        </w:tc>
        <w:tc>
          <w:tcPr>
            <w:tcW w:type="dxa" w:w="2608"/>
            <w:vAlign w:val="top"/>
          </w:tcPr>
          <w:p>
            <w:pPr>
              <w:spacing w:after="0" w:line="221" w:lineRule="auto"/>
            </w:pPr>
            <w:r>
              <w:rPr>
                <w:rFonts w:ascii="Calibri" w:hAnsi="Calibri"/>
                <w:sz w:val="15"/>
              </w:rPr>
              <w:t>0.6273 +/- 0.0050</w:t>
            </w:r>
          </w:p>
        </w:tc>
      </w:tr>
    </w:tbl>
    <w:p>
      <w:pPr>
        <w:spacing w:after="20"/>
      </w:pPr>
    </w:p>
    <w:p>
      <w:pPr>
        <w:spacing w:before="0" w:after="64" w:line="240" w:lineRule="auto"/>
      </w:pPr>
      <w:r>
        <w:rPr>
          <w:rFonts w:ascii="Calibri" w:hAnsi="Calibri"/>
          <w:sz w:val="20"/>
        </w:rPr>
        <w:t>With the behavioural signal this weak (fraud here is closer to random noise than a clean separable pattern -- the honest, leakage-free A1 features top out around 0.62-0.63 ROC-AUC), untuned bagging and boosting default to deep, high-variance trees that fit sampling noise in the training folds and generalise slightly worse than the high-bias, strongly regularised logistic regression. This flips only once XGBoost is properly budget-tuned (Section 5): shallower trees, explicit L1/L2 penalties and a lower learning rate trade variance for bias in a way default hyperparameters do not.</w:t>
      </w:r>
    </w:p>
    <w:p>
      <w:pPr>
        <w:spacing w:before="40" w:after="80"/>
      </w:pPr>
      <w:r>
        <w:rPr>
          <w:rFonts w:ascii="Calibri" w:hAnsi="Calibri"/>
          <w:b/>
          <w:color w:val="1F3A5F"/>
          <w:sz w:val="26"/>
        </w:rPr>
        <w:t>3. Handling the Imbalance</w:t>
      </w:r>
    </w:p>
    <w:p>
      <w:pPr>
        <w:spacing w:before="0" w:after="64" w:line="240" w:lineRule="auto"/>
      </w:pPr>
      <w:r>
        <w:rPr>
          <w:rFonts w:ascii="Calibri" w:hAnsi="Calibri"/>
          <w:sz w:val="20"/>
        </w:rPr>
        <w:t>Two in-fold strategies were compared for XGBoost: class weighting (PR-AUC 0.1214 +/- 0.0053) vs. SMOTE fit inside each training fold (PR-AUC 0.1258 +/- 0.0043). In-fold SMOTE was carried forward as the deployed strategy.</w:t>
      </w:r>
    </w:p>
    <w:p>
      <w:pPr>
        <w:spacing w:before="0" w:after="64" w:line="240" w:lineRule="auto"/>
      </w:pPr>
      <w:r>
        <w:rPr>
          <w:rFonts w:ascii="Calibri" w:hAnsi="Calibri"/>
          <w:b/>
          <w:sz w:val="20"/>
        </w:rPr>
        <w:t>Leakage proof:</w:t>
      </w:r>
      <w:r>
        <w:rPr>
          <w:rFonts w:ascii="Calibri" w:hAnsi="Calibri"/>
          <w:sz w:val="20"/>
        </w:rPr>
        <w:t xml:space="preserve"> on the final fold (train=157,375, test=21,600), fitting SMOTE (and preprocessing) honestly on train-only rows gives PR-AUC 0.1313. Pooling train and test rows before fitting SMOTE -- so synthetic minority training points get interpolated using neighbours that include the actual test-set fraud cases -- inflates PR-AUC to 0.1446, a 10.2% overstatement of skill the model does not actually have, from a change in resampling scope alone. Every resampling step reported in this submission is fit inside the training fold only.</w:t>
      </w:r>
    </w:p>
    <w:p>
      <w:r>
        <w:br w:type="page"/>
      </w:r>
    </w:p>
    <w:p>
      <w:pPr>
        <w:spacing w:before="40" w:after="80"/>
      </w:pPr>
      <w:r>
        <w:rPr>
          <w:rFonts w:ascii="Calibri" w:hAnsi="Calibri"/>
          <w:b/>
          <w:color w:val="1F3A5F"/>
          <w:sz w:val="26"/>
        </w:rPr>
        <w:t>4. Cost-Based Decision Threshold</w:t>
      </w:r>
    </w:p>
    <w:p>
      <w:pPr>
        <w:spacing w:before="0" w:after="64" w:line="240" w:lineRule="auto"/>
      </w:pPr>
      <w:r>
        <w:rPr>
          <w:rFonts w:ascii="Calibri" w:hAnsi="Calibri"/>
          <w:sz w:val="20"/>
        </w:rPr>
        <w:t>Sweeping the decision threshold against the true KES 10,000 / KES 800 cost asymmetry (not the naive 0.5 cut-off) on the tuned model's out-of-fold scores finds an optimal threshold of 0.087, costing KES 629,707 per 1,000 transactions scored, versus KES 844,074 per 1,000 at the naive 0.5 cut-off -- a saving of KES 214,367 per 1,000 transactions (25.4%). At 8.4% fraud prevalence and a 12.5x cost asymmetry, the model should flag far more aggressively than 0.5 -- most of the expected cost comes from missed fraud, not from over-flagging legitimate transactions.</w:t>
      </w:r>
    </w:p>
    <w:p>
      <w:pPr>
        <w:spacing w:before="40" w:after="80"/>
      </w:pPr>
      <w:r>
        <w:rPr>
          <w:rFonts w:ascii="Calibri" w:hAnsi="Calibri"/>
          <w:b/>
          <w:color w:val="1F3A5F"/>
          <w:sz w:val="26"/>
        </w:rPr>
        <w:t>5. Budget-Limited Tuning (Optuna)</w:t>
      </w:r>
    </w:p>
    <w:p>
      <w:pPr>
        <w:spacing w:before="0" w:after="64" w:line="240" w:lineRule="auto"/>
      </w:pPr>
      <w:r>
        <w:rPr>
          <w:rFonts w:ascii="Calibri" w:hAnsi="Calibri"/>
          <w:sz w:val="20"/>
        </w:rPr>
        <w:t>An Optuna study of 65 trials (20 completed, 45 pruned) tuned XGBoost's n_estimators, max_depth, learning_rate, subsample, colsample_bytree, min_child_weight, gamma, reg_alpha and reg_lambda (TPE sampler; MedianPruner, 10 startup trials, 1 warm-up step). To fit the budget, the search objective averaged PR-AUC over the 3 largest purged folds with training rows capped at 50,000 per fold; the winning configuration was then refit at full scale (no subsampling) across all 5 folds for every number reported elsewhere in this report. Best search value: 0.1350 mean PR-AUC. Full trial history and the SQLite study database are in artifacts/.</w:t>
      </w:r>
    </w:p>
    <w:p>
      <w:pPr>
        <w:spacing w:before="40" w:after="80"/>
      </w:pPr>
      <w:r>
        <w:rPr>
          <w:rFonts w:ascii="Calibri" w:hAnsi="Calibri"/>
          <w:b/>
          <w:color w:val="1F3A5F"/>
          <w:sz w:val="26"/>
        </w:rPr>
        <w:t>6. Calibration</w:t>
      </w:r>
    </w:p>
    <w:p>
      <w:pPr>
        <w:spacing w:before="0" w:after="64" w:line="240" w:lineRule="auto"/>
      </w:pPr>
      <w:r>
        <w:rPr>
          <w:rFonts w:ascii="Calibri" w:hAnsi="Calibri"/>
          <w:sz w:val="20"/>
        </w:rPr>
        <w:t>Brier score improved from 0.0762 (raw scores) to 0.0758 after isotonic calibration (fit inside each training fold via CalibratedClassifierCV, so the calibrator never sees the rows it is scored on). The cost-optimal threshold shifts from 0.087 (raw) to 0.071 (calibrated) -- isotonic calibration systematically compresses the raw XGBoost scores of an imbalance-corrected model, so the probability value that carries the same real-world odds of fraud moves accordingly. The calibrated cut-off costs KES 626,019 per 1,000 transactions.</w:t>
      </w:r>
    </w:p>
    <w:p>
      <w:r>
        <w:br w:type="page"/>
      </w:r>
    </w:p>
    <w:p>
      <w:pPr>
        <w:spacing w:before="40" w:after="80"/>
      </w:pPr>
      <w:r>
        <w:rPr>
          <w:rFonts w:ascii="Calibri" w:hAnsi="Calibri"/>
          <w:b/>
          <w:color w:val="1F3A5F"/>
          <w:sz w:val="26"/>
        </w:rPr>
        <w:t>7. Explainability and Fairness</w:t>
      </w:r>
    </w:p>
    <w:p>
      <w:pPr>
        <w:spacing w:before="0" w:after="64" w:line="240" w:lineRule="auto"/>
      </w:pPr>
      <w:r>
        <w:rPr>
          <w:rFonts w:ascii="Calibri" w:hAnsi="Calibri"/>
          <w:sz w:val="20"/>
        </w:rPr>
        <w:t>Global SHAP values (TreeExplainer on the tuned XGBoost booster, 3,000-row sample) and a local waterfall explanation for an individual confidently-flagged fraud case are saved to artifacts/figures/. The behavioural velocity, recency and ratio features dominate the global ranking, consistent with the feature dictionary's design intent; no single feature dominates the model, which supports giving customers a specific, feature-level reason for a hold rather than an opaque score.</w:t>
      </w:r>
    </w:p>
    <w:p>
      <w:pPr>
        <w:spacing w:before="0" w:after="64" w:line="240" w:lineRule="auto"/>
      </w:pPr>
      <w:r>
        <w:rPr>
          <w:rFonts w:ascii="Calibri" w:hAnsi="Calibri"/>
          <w:sz w:val="20"/>
        </w:rPr>
        <w:t>Subgroup fairness (approval rate = share of transactions not flagged; false-negative rate among true fraud cases) at the calibrated cost-optimal threshold, by region and by tenure band:</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2041"/>
            <w:vAlign w:val="center"/>
          </w:tcPr>
          <w:p>
            <w:pPr>
              <w:spacing w:after="0"/>
            </w:pPr>
            <w:r>
              <w:rPr>
                <w:rFonts w:ascii="Calibri" w:hAnsi="Calibri"/>
                <w:b/>
                <w:color w:val="1F3A5F"/>
                <w:sz w:val="16"/>
              </w:rPr>
              <w:t>Region</w:t>
            </w:r>
          </w:p>
        </w:tc>
        <w:tc>
          <w:tcPr>
            <w:tcW w:type="dxa" w:w="1474"/>
            <w:vAlign w:val="center"/>
          </w:tcPr>
          <w:p>
            <w:pPr>
              <w:spacing w:after="0"/>
            </w:pPr>
            <w:r>
              <w:rPr>
                <w:rFonts w:ascii="Calibri" w:hAnsi="Calibri"/>
                <w:b/>
                <w:color w:val="1F3A5F"/>
                <w:sz w:val="16"/>
              </w:rPr>
              <w:t>N</w:t>
            </w:r>
          </w:p>
        </w:tc>
        <w:tc>
          <w:tcPr>
            <w:tcW w:type="dxa" w:w="1984"/>
            <w:vAlign w:val="center"/>
          </w:tcPr>
          <w:p>
            <w:pPr>
              <w:spacing w:after="0"/>
            </w:pPr>
            <w:r>
              <w:rPr>
                <w:rFonts w:ascii="Calibri" w:hAnsi="Calibri"/>
                <w:b/>
                <w:color w:val="1F3A5F"/>
                <w:sz w:val="16"/>
              </w:rPr>
              <w:t>Approval rate</w:t>
            </w:r>
          </w:p>
        </w:tc>
        <w:tc>
          <w:tcPr>
            <w:tcW w:type="dxa" w:w="1984"/>
            <w:vAlign w:val="center"/>
          </w:tcPr>
          <w:p>
            <w:pPr>
              <w:spacing w:after="0"/>
            </w:pPr>
            <w:r>
              <w:rPr>
                <w:rFonts w:ascii="Calibri" w:hAnsi="Calibri"/>
                <w:b/>
                <w:color w:val="1F3A5F"/>
                <w:sz w:val="16"/>
              </w:rPr>
              <w:t>FNR</w:t>
            </w:r>
          </w:p>
        </w:tc>
      </w:tr>
      <w:tr>
        <w:tc>
          <w:tcPr>
            <w:tcW w:type="dxa" w:w="2041"/>
            <w:vAlign w:val="top"/>
          </w:tcPr>
          <w:p>
            <w:pPr>
              <w:spacing w:after="0" w:line="221" w:lineRule="auto"/>
            </w:pPr>
            <w:r>
              <w:rPr>
                <w:rFonts w:ascii="Calibri" w:hAnsi="Calibri"/>
                <w:sz w:val="15"/>
              </w:rPr>
              <w:t>Arusha</w:t>
            </w:r>
          </w:p>
        </w:tc>
        <w:tc>
          <w:tcPr>
            <w:tcW w:type="dxa" w:w="1474"/>
            <w:vAlign w:val="top"/>
          </w:tcPr>
          <w:p>
            <w:pPr>
              <w:spacing w:after="0" w:line="221" w:lineRule="auto"/>
            </w:pPr>
            <w:r>
              <w:rPr>
                <w:rFonts w:ascii="Calibri" w:hAnsi="Calibri"/>
                <w:sz w:val="15"/>
              </w:rPr>
              <w:t>10,670</w:t>
            </w:r>
          </w:p>
        </w:tc>
        <w:tc>
          <w:tcPr>
            <w:tcW w:type="dxa" w:w="1984"/>
            <w:vAlign w:val="top"/>
          </w:tcPr>
          <w:p>
            <w:pPr>
              <w:spacing w:after="0" w:line="221" w:lineRule="auto"/>
            </w:pPr>
            <w:r>
              <w:rPr>
                <w:rFonts w:ascii="Calibri" w:hAnsi="Calibri"/>
                <w:sz w:val="15"/>
              </w:rPr>
              <w:t>0.510</w:t>
            </w:r>
          </w:p>
        </w:tc>
        <w:tc>
          <w:tcPr>
            <w:tcW w:type="dxa" w:w="1984"/>
            <w:vAlign w:val="top"/>
          </w:tcPr>
          <w:p>
            <w:pPr>
              <w:spacing w:after="0" w:line="221" w:lineRule="auto"/>
            </w:pPr>
            <w:r>
              <w:rPr>
                <w:rFonts w:ascii="Calibri" w:hAnsi="Calibri"/>
                <w:sz w:val="15"/>
              </w:rPr>
              <w:t>0.348</w:t>
            </w:r>
          </w:p>
        </w:tc>
      </w:tr>
      <w:tr>
        <w:tc>
          <w:tcPr>
            <w:tcW w:type="dxa" w:w="2041"/>
            <w:vAlign w:val="top"/>
          </w:tcPr>
          <w:p>
            <w:pPr>
              <w:spacing w:after="0" w:line="221" w:lineRule="auto"/>
            </w:pPr>
            <w:r>
              <w:rPr>
                <w:rFonts w:ascii="Calibri" w:hAnsi="Calibri"/>
                <w:sz w:val="15"/>
              </w:rPr>
              <w:t>Dar es Salaam</w:t>
            </w:r>
          </w:p>
        </w:tc>
        <w:tc>
          <w:tcPr>
            <w:tcW w:type="dxa" w:w="1474"/>
            <w:vAlign w:val="top"/>
          </w:tcPr>
          <w:p>
            <w:pPr>
              <w:spacing w:after="0" w:line="221" w:lineRule="auto"/>
            </w:pPr>
            <w:r>
              <w:rPr>
                <w:rFonts w:ascii="Calibri" w:hAnsi="Calibri"/>
                <w:sz w:val="15"/>
              </w:rPr>
              <w:t>10,299</w:t>
            </w:r>
          </w:p>
        </w:tc>
        <w:tc>
          <w:tcPr>
            <w:tcW w:type="dxa" w:w="1984"/>
            <w:vAlign w:val="top"/>
          </w:tcPr>
          <w:p>
            <w:pPr>
              <w:spacing w:after="0" w:line="221" w:lineRule="auto"/>
            </w:pPr>
            <w:r>
              <w:rPr>
                <w:rFonts w:ascii="Calibri" w:hAnsi="Calibri"/>
                <w:sz w:val="15"/>
              </w:rPr>
              <w:t>0.487</w:t>
            </w:r>
          </w:p>
        </w:tc>
        <w:tc>
          <w:tcPr>
            <w:tcW w:type="dxa" w:w="1984"/>
            <w:vAlign w:val="top"/>
          </w:tcPr>
          <w:p>
            <w:pPr>
              <w:spacing w:after="0" w:line="221" w:lineRule="auto"/>
            </w:pPr>
            <w:r>
              <w:rPr>
                <w:rFonts w:ascii="Calibri" w:hAnsi="Calibri"/>
                <w:sz w:val="15"/>
              </w:rPr>
              <w:t>0.289</w:t>
            </w:r>
          </w:p>
        </w:tc>
      </w:tr>
      <w:tr>
        <w:tc>
          <w:tcPr>
            <w:tcW w:type="dxa" w:w="2041"/>
            <w:vAlign w:val="top"/>
          </w:tcPr>
          <w:p>
            <w:pPr>
              <w:spacing w:after="0" w:line="221" w:lineRule="auto"/>
            </w:pPr>
            <w:r>
              <w:rPr>
                <w:rFonts w:ascii="Calibri" w:hAnsi="Calibri"/>
                <w:sz w:val="15"/>
              </w:rPr>
              <w:t>Eldoret</w:t>
            </w:r>
          </w:p>
        </w:tc>
        <w:tc>
          <w:tcPr>
            <w:tcW w:type="dxa" w:w="1474"/>
            <w:vAlign w:val="top"/>
          </w:tcPr>
          <w:p>
            <w:pPr>
              <w:spacing w:after="0" w:line="221" w:lineRule="auto"/>
            </w:pPr>
            <w:r>
              <w:rPr>
                <w:rFonts w:ascii="Calibri" w:hAnsi="Calibri"/>
                <w:sz w:val="15"/>
              </w:rPr>
              <w:t>10,277</w:t>
            </w:r>
          </w:p>
        </w:tc>
        <w:tc>
          <w:tcPr>
            <w:tcW w:type="dxa" w:w="1984"/>
            <w:vAlign w:val="top"/>
          </w:tcPr>
          <w:p>
            <w:pPr>
              <w:spacing w:after="0" w:line="221" w:lineRule="auto"/>
            </w:pPr>
            <w:r>
              <w:rPr>
                <w:rFonts w:ascii="Calibri" w:hAnsi="Calibri"/>
                <w:sz w:val="15"/>
              </w:rPr>
              <w:t>0.478</w:t>
            </w:r>
          </w:p>
        </w:tc>
        <w:tc>
          <w:tcPr>
            <w:tcW w:type="dxa" w:w="1984"/>
            <w:vAlign w:val="top"/>
          </w:tcPr>
          <w:p>
            <w:pPr>
              <w:spacing w:after="0" w:line="221" w:lineRule="auto"/>
            </w:pPr>
            <w:r>
              <w:rPr>
                <w:rFonts w:ascii="Calibri" w:hAnsi="Calibri"/>
                <w:sz w:val="15"/>
              </w:rPr>
              <w:t>0.298</w:t>
            </w:r>
          </w:p>
        </w:tc>
      </w:tr>
      <w:tr>
        <w:tc>
          <w:tcPr>
            <w:tcW w:type="dxa" w:w="2041"/>
            <w:vAlign w:val="top"/>
          </w:tcPr>
          <w:p>
            <w:pPr>
              <w:spacing w:after="0" w:line="221" w:lineRule="auto"/>
            </w:pPr>
            <w:r>
              <w:rPr>
                <w:rFonts w:ascii="Calibri" w:hAnsi="Calibri"/>
                <w:sz w:val="15"/>
              </w:rPr>
              <w:t>Jinja</w:t>
            </w:r>
          </w:p>
        </w:tc>
        <w:tc>
          <w:tcPr>
            <w:tcW w:type="dxa" w:w="1474"/>
            <w:vAlign w:val="top"/>
          </w:tcPr>
          <w:p>
            <w:pPr>
              <w:spacing w:after="0" w:line="221" w:lineRule="auto"/>
            </w:pPr>
            <w:r>
              <w:rPr>
                <w:rFonts w:ascii="Calibri" w:hAnsi="Calibri"/>
                <w:sz w:val="15"/>
              </w:rPr>
              <w:t>11,472</w:t>
            </w:r>
          </w:p>
        </w:tc>
        <w:tc>
          <w:tcPr>
            <w:tcW w:type="dxa" w:w="1984"/>
            <w:vAlign w:val="top"/>
          </w:tcPr>
          <w:p>
            <w:pPr>
              <w:spacing w:after="0" w:line="221" w:lineRule="auto"/>
            </w:pPr>
            <w:r>
              <w:rPr>
                <w:rFonts w:ascii="Calibri" w:hAnsi="Calibri"/>
                <w:sz w:val="15"/>
              </w:rPr>
              <w:t>0.488</w:t>
            </w:r>
          </w:p>
        </w:tc>
        <w:tc>
          <w:tcPr>
            <w:tcW w:type="dxa" w:w="1984"/>
            <w:vAlign w:val="top"/>
          </w:tcPr>
          <w:p>
            <w:pPr>
              <w:spacing w:after="0" w:line="221" w:lineRule="auto"/>
            </w:pPr>
            <w:r>
              <w:rPr>
                <w:rFonts w:ascii="Calibri" w:hAnsi="Calibri"/>
                <w:sz w:val="15"/>
              </w:rPr>
              <w:t>0.307</w:t>
            </w:r>
          </w:p>
        </w:tc>
      </w:tr>
      <w:tr>
        <w:tc>
          <w:tcPr>
            <w:tcW w:type="dxa" w:w="2041"/>
            <w:vAlign w:val="top"/>
          </w:tcPr>
          <w:p>
            <w:pPr>
              <w:spacing w:after="0" w:line="221" w:lineRule="auto"/>
            </w:pPr>
            <w:r>
              <w:rPr>
                <w:rFonts w:ascii="Calibri" w:hAnsi="Calibri"/>
                <w:sz w:val="15"/>
              </w:rPr>
              <w:t>Kampala</w:t>
            </w:r>
          </w:p>
        </w:tc>
        <w:tc>
          <w:tcPr>
            <w:tcW w:type="dxa" w:w="1474"/>
            <w:vAlign w:val="top"/>
          </w:tcPr>
          <w:p>
            <w:pPr>
              <w:spacing w:after="0" w:line="221" w:lineRule="auto"/>
            </w:pPr>
            <w:r>
              <w:rPr>
                <w:rFonts w:ascii="Calibri" w:hAnsi="Calibri"/>
                <w:sz w:val="15"/>
              </w:rPr>
              <w:t>10,136</w:t>
            </w:r>
          </w:p>
        </w:tc>
        <w:tc>
          <w:tcPr>
            <w:tcW w:type="dxa" w:w="1984"/>
            <w:vAlign w:val="top"/>
          </w:tcPr>
          <w:p>
            <w:pPr>
              <w:spacing w:after="0" w:line="221" w:lineRule="auto"/>
            </w:pPr>
            <w:r>
              <w:rPr>
                <w:rFonts w:ascii="Calibri" w:hAnsi="Calibri"/>
                <w:sz w:val="15"/>
              </w:rPr>
              <w:t>0.502</w:t>
            </w:r>
          </w:p>
        </w:tc>
        <w:tc>
          <w:tcPr>
            <w:tcW w:type="dxa" w:w="1984"/>
            <w:vAlign w:val="top"/>
          </w:tcPr>
          <w:p>
            <w:pPr>
              <w:spacing w:after="0" w:line="221" w:lineRule="auto"/>
            </w:pPr>
            <w:r>
              <w:rPr>
                <w:rFonts w:ascii="Calibri" w:hAnsi="Calibri"/>
                <w:sz w:val="15"/>
              </w:rPr>
              <w:t>0.326</w:t>
            </w:r>
          </w:p>
        </w:tc>
      </w:tr>
      <w:tr>
        <w:tc>
          <w:tcPr>
            <w:tcW w:type="dxa" w:w="2041"/>
            <w:vAlign w:val="top"/>
          </w:tcPr>
          <w:p>
            <w:pPr>
              <w:spacing w:after="0" w:line="221" w:lineRule="auto"/>
            </w:pPr>
            <w:r>
              <w:rPr>
                <w:rFonts w:ascii="Calibri" w:hAnsi="Calibri"/>
                <w:sz w:val="15"/>
              </w:rPr>
              <w:t>Kigali</w:t>
            </w:r>
          </w:p>
        </w:tc>
        <w:tc>
          <w:tcPr>
            <w:tcW w:type="dxa" w:w="1474"/>
            <w:vAlign w:val="top"/>
          </w:tcPr>
          <w:p>
            <w:pPr>
              <w:spacing w:after="0" w:line="221" w:lineRule="auto"/>
            </w:pPr>
            <w:r>
              <w:rPr>
                <w:rFonts w:ascii="Calibri" w:hAnsi="Calibri"/>
                <w:sz w:val="15"/>
              </w:rPr>
              <w:t>11,646</w:t>
            </w:r>
          </w:p>
        </w:tc>
        <w:tc>
          <w:tcPr>
            <w:tcW w:type="dxa" w:w="1984"/>
            <w:vAlign w:val="top"/>
          </w:tcPr>
          <w:p>
            <w:pPr>
              <w:spacing w:after="0" w:line="221" w:lineRule="auto"/>
            </w:pPr>
            <w:r>
              <w:rPr>
                <w:rFonts w:ascii="Calibri" w:hAnsi="Calibri"/>
                <w:sz w:val="15"/>
              </w:rPr>
              <w:t>0.484</w:t>
            </w:r>
          </w:p>
        </w:tc>
        <w:tc>
          <w:tcPr>
            <w:tcW w:type="dxa" w:w="1984"/>
            <w:vAlign w:val="top"/>
          </w:tcPr>
          <w:p>
            <w:pPr>
              <w:spacing w:after="0" w:line="221" w:lineRule="auto"/>
            </w:pPr>
            <w:r>
              <w:rPr>
                <w:rFonts w:ascii="Calibri" w:hAnsi="Calibri"/>
                <w:sz w:val="15"/>
              </w:rPr>
              <w:t>0.316</w:t>
            </w:r>
          </w:p>
        </w:tc>
      </w:tr>
      <w:tr>
        <w:tc>
          <w:tcPr>
            <w:tcW w:type="dxa" w:w="2041"/>
            <w:vAlign w:val="top"/>
          </w:tcPr>
          <w:p>
            <w:pPr>
              <w:spacing w:after="0" w:line="221" w:lineRule="auto"/>
            </w:pPr>
            <w:r>
              <w:rPr>
                <w:rFonts w:ascii="Calibri" w:hAnsi="Calibri"/>
                <w:sz w:val="15"/>
              </w:rPr>
              <w:t>Mombasa</w:t>
            </w:r>
          </w:p>
        </w:tc>
        <w:tc>
          <w:tcPr>
            <w:tcW w:type="dxa" w:w="1474"/>
            <w:vAlign w:val="top"/>
          </w:tcPr>
          <w:p>
            <w:pPr>
              <w:spacing w:after="0" w:line="221" w:lineRule="auto"/>
            </w:pPr>
            <w:r>
              <w:rPr>
                <w:rFonts w:ascii="Calibri" w:hAnsi="Calibri"/>
                <w:sz w:val="15"/>
              </w:rPr>
              <w:t>11,904</w:t>
            </w:r>
          </w:p>
        </w:tc>
        <w:tc>
          <w:tcPr>
            <w:tcW w:type="dxa" w:w="1984"/>
            <w:vAlign w:val="top"/>
          </w:tcPr>
          <w:p>
            <w:pPr>
              <w:spacing w:after="0" w:line="221" w:lineRule="auto"/>
            </w:pPr>
            <w:r>
              <w:rPr>
                <w:rFonts w:ascii="Calibri" w:hAnsi="Calibri"/>
                <w:sz w:val="15"/>
              </w:rPr>
              <w:t>0.467</w:t>
            </w:r>
          </w:p>
        </w:tc>
        <w:tc>
          <w:tcPr>
            <w:tcW w:type="dxa" w:w="1984"/>
            <w:vAlign w:val="top"/>
          </w:tcPr>
          <w:p>
            <w:pPr>
              <w:spacing w:after="0" w:line="221" w:lineRule="auto"/>
            </w:pPr>
            <w:r>
              <w:rPr>
                <w:rFonts w:ascii="Calibri" w:hAnsi="Calibri"/>
                <w:sz w:val="15"/>
              </w:rPr>
              <w:t>0.284</w:t>
            </w:r>
          </w:p>
        </w:tc>
      </w:tr>
      <w:tr>
        <w:tc>
          <w:tcPr>
            <w:tcW w:type="dxa" w:w="2041"/>
            <w:vAlign w:val="top"/>
          </w:tcPr>
          <w:p>
            <w:pPr>
              <w:spacing w:after="0" w:line="221" w:lineRule="auto"/>
            </w:pPr>
            <w:r>
              <w:rPr>
                <w:rFonts w:ascii="Calibri" w:hAnsi="Calibri"/>
                <w:sz w:val="15"/>
              </w:rPr>
              <w:t>Mwanza</w:t>
            </w:r>
          </w:p>
        </w:tc>
        <w:tc>
          <w:tcPr>
            <w:tcW w:type="dxa" w:w="1474"/>
            <w:vAlign w:val="top"/>
          </w:tcPr>
          <w:p>
            <w:pPr>
              <w:spacing w:after="0" w:line="221" w:lineRule="auto"/>
            </w:pPr>
            <w:r>
              <w:rPr>
                <w:rFonts w:ascii="Calibri" w:hAnsi="Calibri"/>
                <w:sz w:val="15"/>
              </w:rPr>
              <w:t>10,734</w:t>
            </w:r>
          </w:p>
        </w:tc>
        <w:tc>
          <w:tcPr>
            <w:tcW w:type="dxa" w:w="1984"/>
            <w:vAlign w:val="top"/>
          </w:tcPr>
          <w:p>
            <w:pPr>
              <w:spacing w:after="0" w:line="221" w:lineRule="auto"/>
            </w:pPr>
            <w:r>
              <w:rPr>
                <w:rFonts w:ascii="Calibri" w:hAnsi="Calibri"/>
                <w:sz w:val="15"/>
              </w:rPr>
              <w:t>0.450</w:t>
            </w:r>
          </w:p>
        </w:tc>
        <w:tc>
          <w:tcPr>
            <w:tcW w:type="dxa" w:w="1984"/>
            <w:vAlign w:val="top"/>
          </w:tcPr>
          <w:p>
            <w:pPr>
              <w:spacing w:after="0" w:line="221" w:lineRule="auto"/>
            </w:pPr>
            <w:r>
              <w:rPr>
                <w:rFonts w:ascii="Calibri" w:hAnsi="Calibri"/>
                <w:sz w:val="15"/>
              </w:rPr>
              <w:t>0.295</w:t>
            </w:r>
          </w:p>
        </w:tc>
      </w:tr>
      <w:tr>
        <w:tc>
          <w:tcPr>
            <w:tcW w:type="dxa" w:w="2041"/>
            <w:vAlign w:val="top"/>
          </w:tcPr>
          <w:p>
            <w:pPr>
              <w:spacing w:after="0" w:line="221" w:lineRule="auto"/>
            </w:pPr>
            <w:r>
              <w:rPr>
                <w:rFonts w:ascii="Calibri" w:hAnsi="Calibri"/>
                <w:sz w:val="15"/>
              </w:rPr>
              <w:t>Nairobi</w:t>
            </w:r>
          </w:p>
        </w:tc>
        <w:tc>
          <w:tcPr>
            <w:tcW w:type="dxa" w:w="1474"/>
            <w:vAlign w:val="top"/>
          </w:tcPr>
          <w:p>
            <w:pPr>
              <w:spacing w:after="0" w:line="221" w:lineRule="auto"/>
            </w:pPr>
            <w:r>
              <w:rPr>
                <w:rFonts w:ascii="Calibri" w:hAnsi="Calibri"/>
                <w:sz w:val="15"/>
              </w:rPr>
              <w:t>10,988</w:t>
            </w:r>
          </w:p>
        </w:tc>
        <w:tc>
          <w:tcPr>
            <w:tcW w:type="dxa" w:w="1984"/>
            <w:vAlign w:val="top"/>
          </w:tcPr>
          <w:p>
            <w:pPr>
              <w:spacing w:after="0" w:line="221" w:lineRule="auto"/>
            </w:pPr>
            <w:r>
              <w:rPr>
                <w:rFonts w:ascii="Calibri" w:hAnsi="Calibri"/>
                <w:sz w:val="15"/>
              </w:rPr>
              <w:t>0.467</w:t>
            </w:r>
          </w:p>
        </w:tc>
        <w:tc>
          <w:tcPr>
            <w:tcW w:type="dxa" w:w="1984"/>
            <w:vAlign w:val="top"/>
          </w:tcPr>
          <w:p>
            <w:pPr>
              <w:spacing w:after="0" w:line="221" w:lineRule="auto"/>
            </w:pPr>
            <w:r>
              <w:rPr>
                <w:rFonts w:ascii="Calibri" w:hAnsi="Calibri"/>
                <w:sz w:val="15"/>
              </w:rPr>
              <w:t>0.293</w:t>
            </w:r>
          </w:p>
        </w:tc>
      </w:tr>
      <w:tr>
        <w:tc>
          <w:tcPr>
            <w:tcW w:type="dxa" w:w="2041"/>
            <w:vAlign w:val="top"/>
          </w:tcPr>
          <w:p>
            <w:pPr>
              <w:spacing w:after="0" w:line="221" w:lineRule="auto"/>
            </w:pPr>
            <w:r>
              <w:rPr>
                <w:rFonts w:ascii="Calibri" w:hAnsi="Calibri"/>
                <w:sz w:val="15"/>
              </w:rPr>
              <w:t>Nakuru</w:t>
            </w:r>
          </w:p>
        </w:tc>
        <w:tc>
          <w:tcPr>
            <w:tcW w:type="dxa" w:w="1474"/>
            <w:vAlign w:val="top"/>
          </w:tcPr>
          <w:p>
            <w:pPr>
              <w:spacing w:after="0" w:line="221" w:lineRule="auto"/>
            </w:pPr>
            <w:r>
              <w:rPr>
                <w:rFonts w:ascii="Calibri" w:hAnsi="Calibri"/>
                <w:sz w:val="15"/>
              </w:rPr>
              <w:t>9,874</w:t>
            </w:r>
          </w:p>
        </w:tc>
        <w:tc>
          <w:tcPr>
            <w:tcW w:type="dxa" w:w="1984"/>
            <w:vAlign w:val="top"/>
          </w:tcPr>
          <w:p>
            <w:pPr>
              <w:spacing w:after="0" w:line="221" w:lineRule="auto"/>
            </w:pPr>
            <w:r>
              <w:rPr>
                <w:rFonts w:ascii="Calibri" w:hAnsi="Calibri"/>
                <w:sz w:val="15"/>
              </w:rPr>
              <w:t>0.509</w:t>
            </w:r>
          </w:p>
        </w:tc>
        <w:tc>
          <w:tcPr>
            <w:tcW w:type="dxa" w:w="1984"/>
            <w:vAlign w:val="top"/>
          </w:tcPr>
          <w:p>
            <w:pPr>
              <w:spacing w:after="0" w:line="221" w:lineRule="auto"/>
            </w:pPr>
            <w:r>
              <w:rPr>
                <w:rFonts w:ascii="Calibri" w:hAnsi="Calibri"/>
                <w:sz w:val="15"/>
              </w:rPr>
              <w:t>0.331</w:t>
            </w:r>
          </w:p>
        </w:tc>
      </w:tr>
    </w:tbl>
    <w:p>
      <w:pPr>
        <w:spacing w:after="20"/>
      </w:pP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2551"/>
            <w:vAlign w:val="center"/>
          </w:tcPr>
          <w:p>
            <w:pPr>
              <w:spacing w:after="0"/>
            </w:pPr>
            <w:r>
              <w:rPr>
                <w:rFonts w:ascii="Calibri" w:hAnsi="Calibri"/>
                <w:b/>
                <w:color w:val="1F3A5F"/>
                <w:sz w:val="16"/>
              </w:rPr>
              <w:t>Tenure band</w:t>
            </w:r>
          </w:p>
        </w:tc>
        <w:tc>
          <w:tcPr>
            <w:tcW w:type="dxa" w:w="1474"/>
            <w:vAlign w:val="center"/>
          </w:tcPr>
          <w:p>
            <w:pPr>
              <w:spacing w:after="0"/>
            </w:pPr>
            <w:r>
              <w:rPr>
                <w:rFonts w:ascii="Calibri" w:hAnsi="Calibri"/>
                <w:b/>
                <w:color w:val="1F3A5F"/>
                <w:sz w:val="16"/>
              </w:rPr>
              <w:t>N</w:t>
            </w:r>
          </w:p>
        </w:tc>
        <w:tc>
          <w:tcPr>
            <w:tcW w:type="dxa" w:w="1871"/>
            <w:vAlign w:val="center"/>
          </w:tcPr>
          <w:p>
            <w:pPr>
              <w:spacing w:after="0"/>
            </w:pPr>
            <w:r>
              <w:rPr>
                <w:rFonts w:ascii="Calibri" w:hAnsi="Calibri"/>
                <w:b/>
                <w:color w:val="1F3A5F"/>
                <w:sz w:val="16"/>
              </w:rPr>
              <w:t>Approval rate</w:t>
            </w:r>
          </w:p>
        </w:tc>
        <w:tc>
          <w:tcPr>
            <w:tcW w:type="dxa" w:w="1587"/>
            <w:vAlign w:val="center"/>
          </w:tcPr>
          <w:p>
            <w:pPr>
              <w:spacing w:after="0"/>
            </w:pPr>
            <w:r>
              <w:rPr>
                <w:rFonts w:ascii="Calibri" w:hAnsi="Calibri"/>
                <w:b/>
                <w:color w:val="1F3A5F"/>
                <w:sz w:val="16"/>
              </w:rPr>
              <w:t>FNR</w:t>
            </w:r>
          </w:p>
        </w:tc>
      </w:tr>
      <w:tr>
        <w:tc>
          <w:tcPr>
            <w:tcW w:type="dxa" w:w="2551"/>
            <w:vAlign w:val="top"/>
          </w:tcPr>
          <w:p>
            <w:pPr>
              <w:spacing w:after="0" w:line="221" w:lineRule="auto"/>
            </w:pPr>
            <w:r>
              <w:rPr>
                <w:rFonts w:ascii="Calibri" w:hAnsi="Calibri"/>
                <w:sz w:val="15"/>
              </w:rPr>
              <w:t>new (&lt;90d)</w:t>
            </w:r>
          </w:p>
        </w:tc>
        <w:tc>
          <w:tcPr>
            <w:tcW w:type="dxa" w:w="1474"/>
            <w:vAlign w:val="top"/>
          </w:tcPr>
          <w:p>
            <w:pPr>
              <w:spacing w:after="0" w:line="221" w:lineRule="auto"/>
            </w:pPr>
            <w:r>
              <w:rPr>
                <w:rFonts w:ascii="Calibri" w:hAnsi="Calibri"/>
                <w:sz w:val="15"/>
              </w:rPr>
              <w:t>7</w:t>
            </w:r>
          </w:p>
        </w:tc>
        <w:tc>
          <w:tcPr>
            <w:tcW w:type="dxa" w:w="1871"/>
            <w:vAlign w:val="top"/>
          </w:tcPr>
          <w:p>
            <w:pPr>
              <w:spacing w:after="0" w:line="221" w:lineRule="auto"/>
            </w:pPr>
            <w:r>
              <w:rPr>
                <w:rFonts w:ascii="Calibri" w:hAnsi="Calibri"/>
                <w:sz w:val="15"/>
              </w:rPr>
              <w:t>0.857</w:t>
            </w:r>
          </w:p>
        </w:tc>
        <w:tc>
          <w:tcPr>
            <w:tcW w:type="dxa" w:w="1587"/>
            <w:vAlign w:val="top"/>
          </w:tcPr>
          <w:p>
            <w:pPr>
              <w:spacing w:after="0" w:line="221" w:lineRule="auto"/>
            </w:pPr>
            <w:r>
              <w:rPr>
                <w:rFonts w:ascii="Calibri" w:hAnsi="Calibri"/>
                <w:sz w:val="15"/>
              </w:rPr>
              <w:t>n/a</w:t>
            </w:r>
          </w:p>
        </w:tc>
      </w:tr>
      <w:tr>
        <w:tc>
          <w:tcPr>
            <w:tcW w:type="dxa" w:w="2551"/>
            <w:vAlign w:val="top"/>
          </w:tcPr>
          <w:p>
            <w:pPr>
              <w:spacing w:after="0" w:line="221" w:lineRule="auto"/>
            </w:pPr>
            <w:r>
              <w:rPr>
                <w:rFonts w:ascii="Calibri" w:hAnsi="Calibri"/>
                <w:sz w:val="15"/>
              </w:rPr>
              <w:t>established (90-365d)</w:t>
            </w:r>
          </w:p>
        </w:tc>
        <w:tc>
          <w:tcPr>
            <w:tcW w:type="dxa" w:w="1474"/>
            <w:vAlign w:val="top"/>
          </w:tcPr>
          <w:p>
            <w:pPr>
              <w:spacing w:after="0" w:line="221" w:lineRule="auto"/>
            </w:pPr>
            <w:r>
              <w:rPr>
                <w:rFonts w:ascii="Calibri" w:hAnsi="Calibri"/>
                <w:sz w:val="15"/>
              </w:rPr>
              <w:t>122</w:t>
            </w:r>
          </w:p>
        </w:tc>
        <w:tc>
          <w:tcPr>
            <w:tcW w:type="dxa" w:w="1871"/>
            <w:vAlign w:val="top"/>
          </w:tcPr>
          <w:p>
            <w:pPr>
              <w:spacing w:after="0" w:line="221" w:lineRule="auto"/>
            </w:pPr>
            <w:r>
              <w:rPr>
                <w:rFonts w:ascii="Calibri" w:hAnsi="Calibri"/>
                <w:sz w:val="15"/>
              </w:rPr>
              <w:t>0.557</w:t>
            </w:r>
          </w:p>
        </w:tc>
        <w:tc>
          <w:tcPr>
            <w:tcW w:type="dxa" w:w="1587"/>
            <w:vAlign w:val="top"/>
          </w:tcPr>
          <w:p>
            <w:pPr>
              <w:spacing w:after="0" w:line="221" w:lineRule="auto"/>
            </w:pPr>
            <w:r>
              <w:rPr>
                <w:rFonts w:ascii="Calibri" w:hAnsi="Calibri"/>
                <w:sz w:val="15"/>
              </w:rPr>
              <w:t>0.571</w:t>
            </w:r>
          </w:p>
        </w:tc>
      </w:tr>
      <w:tr>
        <w:tc>
          <w:tcPr>
            <w:tcW w:type="dxa" w:w="2551"/>
            <w:vAlign w:val="top"/>
          </w:tcPr>
          <w:p>
            <w:pPr>
              <w:spacing w:after="0" w:line="221" w:lineRule="auto"/>
            </w:pPr>
            <w:r>
              <w:rPr>
                <w:rFonts w:ascii="Calibri" w:hAnsi="Calibri"/>
                <w:sz w:val="15"/>
              </w:rPr>
              <w:t>long-tenure (&gt;365d)</w:t>
            </w:r>
          </w:p>
        </w:tc>
        <w:tc>
          <w:tcPr>
            <w:tcW w:type="dxa" w:w="1474"/>
            <w:vAlign w:val="top"/>
          </w:tcPr>
          <w:p>
            <w:pPr>
              <w:spacing w:after="0" w:line="221" w:lineRule="auto"/>
            </w:pPr>
            <w:r>
              <w:rPr>
                <w:rFonts w:ascii="Calibri" w:hAnsi="Calibri"/>
                <w:sz w:val="15"/>
              </w:rPr>
              <w:t>107,871</w:t>
            </w:r>
          </w:p>
        </w:tc>
        <w:tc>
          <w:tcPr>
            <w:tcW w:type="dxa" w:w="1871"/>
            <w:vAlign w:val="top"/>
          </w:tcPr>
          <w:p>
            <w:pPr>
              <w:spacing w:after="0" w:line="221" w:lineRule="auto"/>
            </w:pPr>
            <w:r>
              <w:rPr>
                <w:rFonts w:ascii="Calibri" w:hAnsi="Calibri"/>
                <w:sz w:val="15"/>
              </w:rPr>
              <w:t>0.484</w:t>
            </w:r>
          </w:p>
        </w:tc>
        <w:tc>
          <w:tcPr>
            <w:tcW w:type="dxa" w:w="1587"/>
            <w:vAlign w:val="top"/>
          </w:tcPr>
          <w:p>
            <w:pPr>
              <w:spacing w:after="0" w:line="221" w:lineRule="auto"/>
            </w:pPr>
            <w:r>
              <w:rPr>
                <w:rFonts w:ascii="Calibri" w:hAnsi="Calibri"/>
                <w:sz w:val="15"/>
              </w:rPr>
              <w:t>0.307</w:t>
            </w:r>
          </w:p>
        </w:tc>
      </w:tr>
    </w:tbl>
    <w:p>
      <w:pPr>
        <w:spacing w:after="20"/>
      </w:pPr>
    </w:p>
    <w:p>
      <w:pPr>
        <w:spacing w:before="0" w:after="64" w:line="240" w:lineRule="auto"/>
      </w:pPr>
      <w:r>
        <w:rPr>
          <w:rFonts w:ascii="Calibri" w:hAnsi="Calibri"/>
          <w:sz w:val="20"/>
        </w:rPr>
        <w:t>Region shows the meaningful spread here (approval 44.7%-51.1%, FNR 28.4%-34.8%): Mwanza has the lowest approval rate and Arusha the highest FNR, both worth an equity review before deployment. The tenure-band split is far less informative because tenure_days is a static aggregate against a single global scoring date, so 99.9% of evaluated transactions fall in the long-tenure band by construction; the new/established bands (n=7, n=122) are too small to support a fairness conclusion and are reported for transparency, not as evidence of a clean bill of health.</w:t>
      </w:r>
    </w:p>
    <w:p>
      <w:pPr>
        <w:spacing w:before="0" w:after="64" w:line="240" w:lineRule="auto"/>
      </w:pPr>
      <w:r>
        <w:rPr>
          <w:rFonts w:ascii="Calibri" w:hAnsi="Calibri"/>
          <w:sz w:val="20"/>
        </w:rPr>
        <w:t>The CBK Digital Credit Providers Regulations (2022) require lenders to give customers specific, understandable reasons when a credit decision goes against them, not just a bare score or refusal. The per-transaction SHAP explanation produced here is designed for exactly that obligation: it identifies which specific behavioural features pushed a transaction over the threshold, in a form that can be translated into a customer-facing reason (e.g. unusual transaction velocity, distance from home location) rather than an unexplained decline. The regional and tenure-band breakdown above is the matching internal control: any region or tenure band with a materially higher false-negative rate or materially lower approval rate should be investigated before deployment, since a uniform threshold can still produce disparate outcomes across segments even when no protected attribute is used directly.</w:t>
      </w:r>
    </w:p>
    <w:p>
      <w:pPr>
        <w:spacing w:before="40" w:after="80"/>
      </w:pPr>
      <w:r>
        <w:rPr>
          <w:rFonts w:ascii="Calibri" w:hAnsi="Calibri"/>
          <w:b/>
          <w:color w:val="1F3A5F"/>
          <w:sz w:val="26"/>
        </w:rPr>
        <w:t>Recommendation</w:t>
      </w:r>
    </w:p>
    <w:p>
      <w:pPr>
        <w:spacing w:before="0" w:after="64" w:line="240" w:lineRule="auto"/>
      </w:pPr>
      <w:r>
        <w:rPr>
          <w:rFonts w:ascii="Calibri" w:hAnsi="Calibri"/>
          <w:b/>
          <w:sz w:val="20"/>
        </w:rPr>
        <w:t>Deploy the tuned</w:t>
      </w:r>
      <w:r>
        <w:rPr>
          <w:rFonts w:ascii="Calibri" w:hAnsi="Calibri"/>
          <w:sz w:val="20"/>
        </w:rPr>
        <w:t xml:space="preserve"> XGBoost model (in-fold SMOTE, Optuna-selected hyperparameters, isotonic calibration applied) with a single production decision threshold of 0.071 on the calibrated fraud probability. This configuration was chosen over plain logistic regression and untuned bagging/boosting because, once properly tuned and calibrated, it gives the best cost-weighted performance on purged, time-ordered evaluation folds, and it directly minimises the KES 10,000 / KES 800 cost asymmetry the business actually faces rather than optimising for accuracy or a default 0.5 cut-off. The evaluation plan's disclosed customer-overlap caveat means the reported numbers should be treated as an upper bound on real deployed performance until a monitored pilot confirms them on genuinely unseen customers.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