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C7C74"/>
          <w:sz w:val="34"/>
          <w:szCs w:val="34"/>
        </w:rPr>
        <w:t xml:space="preserve">WHO AFRO · IHSA</w:t>
      </w:r>
    </w:p>
    <w:p>
      <w:pPr>
        <w:spacing w:before="70"/>
        <w:jc w:val="center"/>
      </w:pPr>
      <w:r>
        <w:rPr>
          <w:b/>
          <w:bCs/>
          <w:color w:val="0B132B"/>
          <w:sz w:val="50"/>
          <w:szCs w:val="50"/>
        </w:rPr>
        <w:t xml:space="preserve">Bayesian Health Systems Scenario Engine</w:t>
      </w:r>
    </w:p>
    <w:p>
      <w:pPr>
        <w:spacing w:before="120"/>
        <w:jc w:val="center"/>
      </w:pPr>
      <w:r>
        <w:rPr>
          <w:i/>
          <w:iCs/>
          <w:color w:val="334155"/>
          <w:sz w:val="27"/>
          <w:szCs w:val="27"/>
        </w:rPr>
        <w:t xml:space="preserve">Methodology, Mathematical Specification &amp; Model Assumptions</w:t>
      </w:r>
    </w:p>
    <w:p>
      <w:pPr>
        <w:pBdr>
          <w:top w:val="single" w:color="C0392B" w:sz="6"/>
        </w:pBdr>
        <w:spacing w:before="640"/>
        <w:jc w:val="center"/>
      </w:pPr>
      <w:r>
        <w:rPr>
          <w:sz w:val="2"/>
          <w:szCs w:val="2"/>
        </w:rPr>
        <w:t xml:space="preserve"/>
      </w:r>
    </w:p>
    <w:p>
      <w:pPr>
        <w:spacing w:before="240"/>
        <w:jc w:val="center"/>
      </w:pPr>
      <w:r>
        <w:rPr>
          <w:color w:val="1C2541"/>
          <w:sz w:val="22"/>
          <w:szCs w:val="22"/>
        </w:rPr>
        <w:t xml:space="preserve">Hierarchical Bayesian networks over layered health-system determinants,</w:t>
      </w:r>
    </w:p>
    <w:p>
      <w:pPr>
        <w:spacing w:before="30"/>
        <w:jc w:val="center"/>
      </w:pPr>
      <w:r>
        <w:rPr>
          <w:color w:val="1C2541"/>
          <w:sz w:val="22"/>
          <w:szCs w:val="22"/>
        </w:rPr>
        <w:t xml:space="preserve">with do-operator scenarios and Monte-Carlo uncertainty propagation</w:t>
      </w:r>
    </w:p>
    <w:p>
      <w:pPr>
        <w:spacing w:before="60"/>
        <w:jc w:val="center"/>
      </w:pPr>
      <w:r>
        <w:rPr>
          <w:color w:val="334155"/>
          <w:sz w:val="18"/>
          <w:szCs w:val="18"/>
        </w:rPr>
        <w:t xml:space="preserve">HIV · Maternal · Neonatal · Child · Under-5 · UHC · TB · Malaria · NCD · SRHR · HIS/RHIS · SDG 3</w:t>
      </w:r>
    </w:p>
    <w:p>
      <w:pPr>
        <w:spacing w:before="820"/>
        <w:jc w:val="center"/>
      </w:pPr>
      <w:r>
        <w:rPr>
          <w:color w:val="334155"/>
          <w:sz w:val="20"/>
          <w:szCs w:val="20"/>
        </w:rPr>
        <w:t xml:space="preserve">Version 2.0 · Reworked framework · Enterprise release</w:t>
      </w:r>
    </w:p>
    <w:p>
      <w:r>
        <w:br w:type="page"/>
      </w:r>
    </w:p>
    <w:p>
      <w:pPr>
        <w:spacing w:after="160"/>
      </w:pPr>
      <w:r>
        <w:rPr>
          <w:b/>
          <w:bCs/>
          <w:color w:val="0B13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0B132B"/>
        </w:rPr>
        <w:t xml:space="preserve">1. Rationale: from regression to Bayesian networks</w:t>
      </w:r>
    </w:p>
    <w:p>
      <w:pPr>
        <w:spacing w:after="120" w:line="276"/>
        <w:jc w:val="both"/>
      </w:pPr>
      <w:r>
        <w:rPr>
          <w:b w:val="false"/>
          <w:bCs w:val="false"/>
          <w:i w:val="false"/>
          <w:iCs w:val="false"/>
        </w:rPr>
        <w:t xml:space="preserve">The first-generation IHSA engine modelled each health outcome with an anchored regression on risk-oriented predictors. This release reworks that framework into a Bayesian Health Systems Scenario Engine in which every outcome (HIV, maternal mortality, TB, UHC, and so on) is a node in a directed acyclic graph (DAG) of shared upstream determinants. This is materially more powerful than independent regressions because determinants influence one another, uncertainty is propagated coherently through the whole system, several interventions can be combined simultaneously, external shocks (epidemics, conflict, floods) can dynamically alter downstream probabilities, and the engine returns posterior probability distributions rather than single fixed predictions.</w:t>
      </w:r>
    </w:p>
    <w:p>
      <w:pPr>
        <w:spacing w:after="120" w:line="276"/>
        <w:jc w:val="both"/>
      </w:pPr>
      <w:r>
        <w:rPr>
          <w:b w:val="false"/>
          <w:bCs w:val="false"/>
          <w:i w:val="false"/>
          <w:iCs w:val="false"/>
        </w:rPr>
        <w:t xml:space="preserve">Concretely, the engine answers questions of the form: “what happens if we improve antenatal care by 20% and increase the health workforce by 15%, while malaria rises because of flooding?” — updating every downstream probability, with credible intervals, and reporting the probability of meeting a policy target.</w:t>
      </w:r>
    </w:p>
    <w:p>
      <w:pPr>
        <w:pStyle w:val="Heading1"/>
      </w:pPr>
      <w:r>
        <w:rPr>
          <w:b/>
          <w:bCs/>
          <w:color w:val="0B132B"/>
        </w:rPr>
        <w:t xml:space="preserve">2. The determinant hierarchy</w:t>
      </w:r>
    </w:p>
    <w:p>
      <w:pPr>
        <w:spacing w:after="120" w:line="276"/>
        <w:jc w:val="both"/>
      </w:pPr>
      <w:r>
        <w:rPr>
          <w:b w:val="false"/>
          <w:bCs w:val="false"/>
          <w:i w:val="false"/>
          <w:iCs w:val="false"/>
        </w:rPr>
        <w:t xml:space="preserve">Predictors are organised into five causal layers. Information flows upward from external shocks through structural and system determinants to the intermediate determinants that immediately shape each outcome:</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external shocks  →  socioeconomic  →  system  →  intermediate  →  outcome</w:t>
      </w:r>
    </w:p>
    <w:p>
      <w:pPr>
        <w:spacing w:after="120" w:line="276"/>
        <w:jc w:val="both"/>
      </w:pPr>
      <w:r>
        <w:rPr>
          <w:b w:val="false"/>
          <w:bCs w:val="false"/>
          <w:i w:val="false"/>
          <w:iCs w:val="false"/>
        </w:rPr>
        <w:t xml:space="preserve">Each domain network is a specialisation of this template using the predictors catalogued for that domain (Section 6). Determinants are shared across domains — health-workforce density, HIS maturity, financing, conflict and climate shocks are common parents of many outcomes — which is precisely what a set of independent regressions cannot represent.</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1900"/>
        <w:gridCol w:w="5100"/>
        <w:gridCol w:w="2360"/>
      </w:tblGrid>
      <w:tr>
        <w:trPr>
          <w:tblHeader/>
        </w:trPr>
        <w:tc>
          <w:tcPr>
            <w:tcW w:type="dxa" w:w="1900"/>
            <w:shd w:fill="0B132B" w:val="clear"/>
            <w:tcMar>
              <w:top w:type="dxa" w:w="52"/>
              <w:left w:type="dxa" w:w="80"/>
              <w:bottom w:type="dxa" w:w="52"/>
              <w:right w:type="dxa" w:w="80"/>
            </w:tcMar>
          </w:tcPr>
          <w:p>
            <w:pPr>
              <w:spacing w:after="0" w:line="244"/>
              <w:jc w:val="left"/>
            </w:pPr>
            <w:r>
              <w:rPr>
                <w:b/>
                <w:bCs/>
                <w:color w:val="FFFFFF"/>
                <w:sz w:val="17"/>
                <w:szCs w:val="17"/>
              </w:rPr>
              <w:t xml:space="preserve">Layer</w:t>
            </w:r>
          </w:p>
        </w:tc>
        <w:tc>
          <w:tcPr>
            <w:tcW w:type="dxa" w:w="5100"/>
            <w:shd w:fill="0B132B" w:val="clear"/>
            <w:tcMar>
              <w:top w:type="dxa" w:w="52"/>
              <w:left w:type="dxa" w:w="80"/>
              <w:bottom w:type="dxa" w:w="52"/>
              <w:right w:type="dxa" w:w="80"/>
            </w:tcMar>
          </w:tcPr>
          <w:p>
            <w:pPr>
              <w:spacing w:after="0" w:line="244"/>
              <w:jc w:val="left"/>
            </w:pPr>
            <w:r>
              <w:rPr>
                <w:b/>
                <w:bCs/>
                <w:color w:val="FFFFFF"/>
                <w:sz w:val="17"/>
                <w:szCs w:val="17"/>
              </w:rPr>
              <w:t xml:space="preserve">Typical members</w:t>
            </w:r>
          </w:p>
        </w:tc>
        <w:tc>
          <w:tcPr>
            <w:tcW w:type="dxa" w:w="2360"/>
            <w:shd w:fill="0B132B" w:val="clear"/>
            <w:tcMar>
              <w:top w:type="dxa" w:w="52"/>
              <w:left w:type="dxa" w:w="80"/>
              <w:bottom w:type="dxa" w:w="52"/>
              <w:right w:type="dxa" w:w="80"/>
            </w:tcMar>
          </w:tcPr>
          <w:p>
            <w:pPr>
              <w:spacing w:after="0" w:line="244"/>
              <w:jc w:val="left"/>
            </w:pPr>
            <w:r>
              <w:rPr>
                <w:b/>
                <w:bCs/>
                <w:color w:val="FFFFFF"/>
                <w:sz w:val="17"/>
                <w:szCs w:val="17"/>
              </w:rPr>
              <w:t xml:space="preserve">Role</w:t>
            </w:r>
          </w:p>
        </w:tc>
      </w:tr>
      <w:tr>
        <w:tc>
          <w:tcPr>
            <w:tcW w:type="dxa" w:w="1900"/>
            <w:shd w:fill="FFFFFF" w:val="clear"/>
            <w:tcMar>
              <w:top w:type="dxa" w:w="52"/>
              <w:left w:type="dxa" w:w="80"/>
              <w:bottom w:type="dxa" w:w="52"/>
              <w:right w:type="dxa" w:w="80"/>
            </w:tcMar>
          </w:tcPr>
          <w:p>
            <w:pPr>
              <w:spacing w:after="0" w:line="244"/>
              <w:jc w:val="left"/>
            </w:pPr>
            <w:r>
              <w:rPr>
                <w:b w:val="false"/>
                <w:bCs w:val="false"/>
                <w:sz w:val="17"/>
                <w:szCs w:val="17"/>
              </w:rPr>
              <w:t xml:space="preserve">Outcome</w:t>
            </w:r>
          </w:p>
        </w:tc>
        <w:tc>
          <w:tcPr>
            <w:tcW w:type="dxa" w:w="5100"/>
            <w:shd w:fill="FFFFFF" w:val="clear"/>
            <w:tcMar>
              <w:top w:type="dxa" w:w="52"/>
              <w:left w:type="dxa" w:w="80"/>
              <w:bottom w:type="dxa" w:w="52"/>
              <w:right w:type="dxa" w:w="80"/>
            </w:tcMar>
          </w:tcPr>
          <w:p>
            <w:pPr>
              <w:spacing w:after="0" w:line="244"/>
              <w:jc w:val="left"/>
            </w:pPr>
            <w:r>
              <w:rPr>
                <w:b w:val="false"/>
                <w:bCs w:val="false"/>
                <w:sz w:val="17"/>
                <w:szCs w:val="17"/>
              </w:rPr>
              <w:t xml:space="preserve">Incidence, mortality ratio/rate, coverage or maturity index, P(SDG 3)</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Target of inference</w:t>
            </w:r>
          </w:p>
        </w:tc>
      </w:tr>
      <w:tr>
        <w:tc>
          <w:tcPr>
            <w:tcW w:type="dxa" w:w="1900"/>
            <w:shd w:fill="EEF2F6" w:val="clear"/>
            <w:tcMar>
              <w:top w:type="dxa" w:w="52"/>
              <w:left w:type="dxa" w:w="80"/>
              <w:bottom w:type="dxa" w:w="52"/>
              <w:right w:type="dxa" w:w="80"/>
            </w:tcMar>
          </w:tcPr>
          <w:p>
            <w:pPr>
              <w:spacing w:after="0" w:line="244"/>
              <w:jc w:val="left"/>
            </w:pPr>
            <w:r>
              <w:rPr>
                <w:b w:val="false"/>
                <w:bCs w:val="false"/>
                <w:sz w:val="17"/>
                <w:szCs w:val="17"/>
              </w:rPr>
              <w:t xml:space="preserve">Intermediate</w:t>
            </w:r>
          </w:p>
        </w:tc>
        <w:tc>
          <w:tcPr>
            <w:tcW w:type="dxa" w:w="5100"/>
            <w:shd w:fill="EEF2F6" w:val="clear"/>
            <w:tcMar>
              <w:top w:type="dxa" w:w="52"/>
              <w:left w:type="dxa" w:w="80"/>
              <w:bottom w:type="dxa" w:w="52"/>
              <w:right w:type="dxa" w:w="80"/>
            </w:tcMar>
          </w:tcPr>
          <w:p>
            <w:pPr>
              <w:spacing w:after="0" w:line="244"/>
              <w:jc w:val="left"/>
            </w:pPr>
            <w:r>
              <w:rPr>
                <w:b w:val="false"/>
                <w:bCs w:val="false"/>
                <w:sz w:val="17"/>
                <w:szCs w:val="17"/>
              </w:rPr>
              <w:t xml:space="preserve">Effective coverage of the interventions that act directly on the outcome</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Proximate determinants</w:t>
            </w:r>
          </w:p>
        </w:tc>
      </w:tr>
      <w:tr>
        <w:tc>
          <w:tcPr>
            <w:tcW w:type="dxa" w:w="1900"/>
            <w:shd w:fill="FFFFFF" w:val="clear"/>
            <w:tcMar>
              <w:top w:type="dxa" w:w="52"/>
              <w:left w:type="dxa" w:w="80"/>
              <w:bottom w:type="dxa" w:w="52"/>
              <w:right w:type="dxa" w:w="80"/>
            </w:tcMar>
          </w:tcPr>
          <w:p>
            <w:pPr>
              <w:spacing w:after="0" w:line="244"/>
              <w:jc w:val="left"/>
            </w:pPr>
            <w:r>
              <w:rPr>
                <w:b w:val="false"/>
                <w:bCs w:val="false"/>
                <w:sz w:val="17"/>
                <w:szCs w:val="17"/>
              </w:rPr>
              <w:t xml:space="preserve">System</w:t>
            </w:r>
          </w:p>
        </w:tc>
        <w:tc>
          <w:tcPr>
            <w:tcW w:type="dxa" w:w="5100"/>
            <w:shd w:fill="FFFFFF" w:val="clear"/>
            <w:tcMar>
              <w:top w:type="dxa" w:w="52"/>
              <w:left w:type="dxa" w:w="80"/>
              <w:bottom w:type="dxa" w:w="52"/>
              <w:right w:type="dxa" w:w="80"/>
            </w:tcMar>
          </w:tcPr>
          <w:p>
            <w:pPr>
              <w:spacing w:after="0" w:line="244"/>
              <w:jc w:val="left"/>
            </w:pPr>
            <w:r>
              <w:rPr>
                <w:b w:val="false"/>
                <w:bCs w:val="false"/>
                <w:sz w:val="17"/>
                <w:szCs w:val="17"/>
              </w:rPr>
              <w:t xml:space="preserve">Workforce, financing, medicines/supply chain, infrastructure, HIS maturity, digital health, governance</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Delivery capacity</w:t>
            </w:r>
          </w:p>
        </w:tc>
      </w:tr>
      <w:tr>
        <w:tc>
          <w:tcPr>
            <w:tcW w:type="dxa" w:w="1900"/>
            <w:shd w:fill="EEF2F6" w:val="clear"/>
            <w:tcMar>
              <w:top w:type="dxa" w:w="52"/>
              <w:left w:type="dxa" w:w="80"/>
              <w:bottom w:type="dxa" w:w="52"/>
              <w:right w:type="dxa" w:w="80"/>
            </w:tcMar>
          </w:tcPr>
          <w:p>
            <w:pPr>
              <w:spacing w:after="0" w:line="244"/>
              <w:jc w:val="left"/>
            </w:pPr>
            <w:r>
              <w:rPr>
                <w:b w:val="false"/>
                <w:bCs w:val="false"/>
                <w:sz w:val="17"/>
                <w:szCs w:val="17"/>
              </w:rPr>
              <w:t xml:space="preserve">Socioeconomic</w:t>
            </w:r>
          </w:p>
        </w:tc>
        <w:tc>
          <w:tcPr>
            <w:tcW w:type="dxa" w:w="5100"/>
            <w:shd w:fill="EEF2F6" w:val="clear"/>
            <w:tcMar>
              <w:top w:type="dxa" w:w="52"/>
              <w:left w:type="dxa" w:w="80"/>
              <w:bottom w:type="dxa" w:w="52"/>
              <w:right w:type="dxa" w:w="80"/>
            </w:tcMar>
          </w:tcPr>
          <w:p>
            <w:pPr>
              <w:spacing w:after="0" w:line="244"/>
              <w:jc w:val="left"/>
            </w:pPr>
            <w:r>
              <w:rPr>
                <w:b w:val="false"/>
                <w:bCs w:val="false"/>
                <w:sz w:val="17"/>
                <w:szCs w:val="17"/>
              </w:rPr>
              <w:t xml:space="preserve">Education, poverty/wealth, urbanisation, gender inequality, demography</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Structural context</w:t>
            </w:r>
          </w:p>
        </w:tc>
      </w:tr>
      <w:tr>
        <w:tc>
          <w:tcPr>
            <w:tcW w:type="dxa" w:w="1900"/>
            <w:shd w:fill="FFFFFF" w:val="clear"/>
            <w:tcMar>
              <w:top w:type="dxa" w:w="52"/>
              <w:left w:type="dxa" w:w="80"/>
              <w:bottom w:type="dxa" w:w="52"/>
              <w:right w:type="dxa" w:w="80"/>
            </w:tcMar>
          </w:tcPr>
          <w:p>
            <w:pPr>
              <w:spacing w:after="0" w:line="244"/>
              <w:jc w:val="left"/>
            </w:pPr>
            <w:r>
              <w:rPr>
                <w:b w:val="false"/>
                <w:bCs w:val="false"/>
                <w:sz w:val="17"/>
                <w:szCs w:val="17"/>
              </w:rPr>
              <w:t xml:space="preserve">Shocks</w:t>
            </w:r>
          </w:p>
        </w:tc>
        <w:tc>
          <w:tcPr>
            <w:tcW w:type="dxa" w:w="5100"/>
            <w:shd w:fill="FFFFFF" w:val="clear"/>
            <w:tcMar>
              <w:top w:type="dxa" w:w="52"/>
              <w:left w:type="dxa" w:w="80"/>
              <w:bottom w:type="dxa" w:w="52"/>
              <w:right w:type="dxa" w:w="80"/>
            </w:tcMar>
          </w:tcPr>
          <w:p>
            <w:pPr>
              <w:spacing w:after="0" w:line="244"/>
              <w:jc w:val="left"/>
            </w:pPr>
            <w:r>
              <w:rPr>
                <w:b w:val="false"/>
                <w:bCs w:val="false"/>
                <w:sz w:val="17"/>
                <w:szCs w:val="17"/>
              </w:rPr>
              <w:t xml:space="preserve">Conflict, epidemics/pandemic, floods, drought, displacement, strikes</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Exogenous perturbations</w:t>
            </w:r>
          </w:p>
        </w:tc>
      </w:tr>
    </w:tbl>
    <w:p>
      <w:r>
        <w:br w:type="page"/>
      </w:r>
    </w:p>
    <w:p>
      <w:pPr>
        <w:pStyle w:val="Heading1"/>
      </w:pPr>
      <w:r>
        <w:rPr>
          <w:b/>
          <w:bCs/>
          <w:color w:val="0B132B"/>
        </w:rPr>
        <w:t xml:space="preserve">3. Mathematical specification</w:t>
      </w:r>
    </w:p>
    <w:p>
      <w:pPr>
        <w:pStyle w:val="Heading2"/>
      </w:pPr>
      <w:r>
        <w:rPr>
          <w:b/>
          <w:bCs/>
          <w:color w:val="1C2541"/>
        </w:rPr>
        <w:t xml:space="preserve">3.1 Graph and factorisation</w:t>
      </w:r>
    </w:p>
    <w:p>
      <w:pPr>
        <w:spacing w:after="120" w:line="276"/>
        <w:jc w:val="both"/>
      </w:pPr>
      <w:r>
        <w:rPr>
          <w:b w:val="false"/>
          <w:bCs w:val="false"/>
          <w:i w:val="false"/>
          <w:iCs w:val="false"/>
        </w:rPr>
        <w:t xml:space="preserve">Let the vector of modelled quantities be X = (X₁,…,Xₚ) with a DAG G in which pa(j) denotes the parents of node j. The joint distribution factorises according to G:</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p(X₁,…,Xₚ) = ∏</w:t>
      </w:r>
      <w:r>
        <w:rPr>
          <w:rFonts w:ascii="Cambria Math" w:cs="Cambria Math" w:eastAsia="Cambria Math" w:hAnsi="Cambria Math"/>
          <w:i/>
          <w:iCs/>
          <w:color w:val="1C2541"/>
          <w:sz w:val="16"/>
          <w:szCs w:val="16"/>
          <w:vertAlign w:val="subscript"/>
        </w:rPr>
        <w:t xml:space="preserve">j=1..p</w:t>
      </w:r>
      <w:r>
        <w:rPr>
          <w:rFonts w:ascii="Cambria Math" w:cs="Cambria Math" w:eastAsia="Cambria Math" w:hAnsi="Cambria Math"/>
          <w:i/>
          <w:iCs/>
          <w:color w:val="1C2541"/>
          <w:sz w:val="23"/>
          <w:szCs w:val="23"/>
        </w:rPr>
        <w:t xml:space="preserve">  p( 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pa(j)</w:t>
      </w:r>
      <w:r>
        <w:rPr>
          <w:rFonts w:ascii="Cambria Math" w:cs="Cambria Math" w:eastAsia="Cambria Math" w:hAnsi="Cambria Math"/>
          <w:i/>
          <w:iCs/>
          <w:color w:val="1C2541"/>
          <w:sz w:val="23"/>
          <w:szCs w:val="23"/>
        </w:rPr>
        <w:t xml:space="preserve"> )</w:t>
      </w:r>
    </w:p>
    <w:p>
      <w:pPr>
        <w:spacing w:after="120" w:line="276"/>
        <w:jc w:val="both"/>
      </w:pPr>
      <w:r>
        <w:rPr>
          <w:b w:val="false"/>
          <w:bCs w:val="false"/>
          <w:i w:val="false"/>
          <w:iCs w:val="false"/>
        </w:rPr>
        <w:t xml:space="preserve">Each conditional is a generalised structural equation. Nodes are of three kinds — continuous, rate (non-negative), and probability (in the unit interval) — with matching link functions g (identity, log, and logit respectively).</w:t>
      </w:r>
    </w:p>
    <w:p>
      <w:pPr>
        <w:pStyle w:val="Heading2"/>
      </w:pPr>
      <w:r>
        <w:rPr>
          <w:b/>
          <w:bCs/>
          <w:color w:val="1C2541"/>
        </w:rPr>
        <w:t xml:space="preserve">3.2 Structural equations</w:t>
      </w:r>
    </w:p>
    <w:p>
      <w:pPr>
        <w:spacing w:after="120" w:line="276"/>
        <w:jc w:val="both"/>
      </w:pPr>
      <w:r>
        <w:rPr>
          <w:b w:val="false"/>
          <w:bCs w:val="false"/>
          <w:i w:val="false"/>
          <w:iCs w:val="false"/>
        </w:rPr>
        <w:t xml:space="preserve">For node j with link gⱼ, the conditional mean is a sign-constrained additive function of its parents, centred at the observed baseline so the model is anchored:</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gⱼ( E[X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 gⱼ(x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⁰) + ∑</w:t>
      </w:r>
      <w:r>
        <w:rPr>
          <w:rFonts w:ascii="Cambria Math" w:cs="Cambria Math" w:eastAsia="Cambria Math" w:hAnsi="Cambria Math"/>
          <w:i/>
          <w:iCs/>
          <w:color w:val="1C2541"/>
          <w:sz w:val="16"/>
          <w:szCs w:val="16"/>
          <w:vertAlign w:val="subscript"/>
        </w:rPr>
        <w:t xml:space="preserve">k∈pa(j)</w:t>
      </w:r>
      <w:r>
        <w:rPr>
          <w:rFonts w:ascii="Cambria Math" w:cs="Cambria Math" w:eastAsia="Cambria Math" w:hAnsi="Cambria Math"/>
          <w:i/>
          <w:iCs/>
          <w:color w:val="1C2541"/>
          <w:sz w:val="23"/>
          <w:szCs w:val="23"/>
        </w:rPr>
        <w:t xml:space="preserve"> s</w:t>
      </w:r>
      <w:r>
        <w:rPr>
          <w:rFonts w:ascii="Cambria Math" w:cs="Cambria Math" w:eastAsia="Cambria Math" w:hAnsi="Cambria Math"/>
          <w:i/>
          <w:iCs/>
          <w:color w:val="1C2541"/>
          <w:sz w:val="16"/>
          <w:szCs w:val="16"/>
          <w:vertAlign w:val="subscript"/>
        </w:rPr>
        <w:t xml:space="preserve">jk</w:t>
      </w:r>
      <w:r>
        <w:rPr>
          <w:rFonts w:ascii="Cambria Math" w:cs="Cambria Math" w:eastAsia="Cambria Math" w:hAnsi="Cambria Math"/>
          <w:i/>
          <w:iCs/>
          <w:color w:val="1C2541"/>
          <w:sz w:val="23"/>
          <w:szCs w:val="23"/>
        </w:rPr>
        <w:t xml:space="preserve"> β</w:t>
      </w:r>
      <w:r>
        <w:rPr>
          <w:rFonts w:ascii="Cambria Math" w:cs="Cambria Math" w:eastAsia="Cambria Math" w:hAnsi="Cambria Math"/>
          <w:i/>
          <w:iCs/>
          <w:color w:val="1C2541"/>
          <w:sz w:val="16"/>
          <w:szCs w:val="16"/>
          <w:vertAlign w:val="subscript"/>
        </w:rPr>
        <w:t xml:space="preserve">jk</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k</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k</w:t>
      </w:r>
      <w:r>
        <w:rPr>
          <w:rFonts w:ascii="Cambria Math" w:cs="Cambria Math" w:eastAsia="Cambria Math" w:hAnsi="Cambria Math"/>
          <w:i/>
          <w:iCs/>
          <w:color w:val="1C2541"/>
          <w:sz w:val="23"/>
          <w:szCs w:val="23"/>
        </w:rPr>
        <w:t xml:space="preserve">⁰ ) / κ</w:t>
      </w:r>
      <w:r>
        <w:rPr>
          <w:rFonts w:ascii="Cambria Math" w:cs="Cambria Math" w:eastAsia="Cambria Math" w:hAnsi="Cambria Math"/>
          <w:i/>
          <w:iCs/>
          <w:color w:val="1C2541"/>
          <w:sz w:val="16"/>
          <w:szCs w:val="16"/>
          <w:vertAlign w:val="subscript"/>
        </w:rPr>
        <w:t xml:space="preserve">jk</w:t>
      </w:r>
    </w:p>
    <w:p>
      <w:pPr>
        <w:spacing w:after="120" w:line="276"/>
        <w:jc w:val="both"/>
      </w:pPr>
      <w:r>
        <w:rPr>
          <w:b w:val="false"/>
          <w:bCs w:val="false"/>
          <w:i w:val="false"/>
          <w:iCs w:val="false"/>
        </w:rPr>
        <w:t xml:space="preserve">Here xⱼ⁰ is the observed baseline of node j; sⱼₖ ∈ {−1,+1} is the structural sign taken from the predictor polarity (protective drivers of an adverse outcome carry −1; positive drivers of a positive node carry +1); βⱼₖ ≥ 0 is a non-negative effect magnitude; and κⱼₖ rescales the parent to its natural units. Because the sum vanishes when every parent sits at its baseline, gⱼ(E[Xⱼ]) = gⱼ(xⱼ⁰): a do-nothing scenario reproduces the observed value exactly. The stochastic node is then</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gⱼ⁻¹( η</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 e</w:t>
      </w:r>
      <w:r>
        <w:rPr>
          <w:rFonts w:ascii="Cambria Math" w:cs="Cambria Math" w:eastAsia="Cambria Math" w:hAnsi="Cambria Math"/>
          <w:i/>
          <w:iCs/>
          <w:color w:val="1C2541"/>
          <w:sz w:val="23"/>
          <w:szCs w:val="23"/>
          <w:vertAlign w:val="superscript"/>
        </w:rPr>
        <w:t xml:space="preserve">ε</w:t>
      </w:r>
      <w:r>
        <w:rPr>
          <w:rFonts w:ascii="Cambria Math" w:cs="Cambria Math" w:eastAsia="Cambria Math" w:hAnsi="Cambria Math"/>
          <w:i/>
          <w:iCs/>
          <w:color w:val="1C2541"/>
          <w:sz w:val="23"/>
          <w:szCs w:val="23"/>
        </w:rPr>
        <w:t xml:space="preserve">  (rate),   or   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gⱼ⁻¹(η</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ε   (continuous),   ε ~ N(0, σⱼ²)</w:t>
      </w:r>
    </w:p>
    <w:p>
      <w:pPr>
        <w:pStyle w:val="Heading2"/>
      </w:pPr>
      <w:r>
        <w:rPr>
          <w:b/>
          <w:bCs/>
          <w:color w:val="1C2541"/>
        </w:rPr>
        <w:t xml:space="preserve">3.3 Priors and sign constraints</w:t>
      </w:r>
    </w:p>
    <w:p>
      <w:pPr>
        <w:spacing w:after="120" w:line="276"/>
        <w:jc w:val="both"/>
      </w:pPr>
      <w:r>
        <w:rPr>
          <w:b w:val="false"/>
          <w:bCs w:val="false"/>
          <w:i w:val="false"/>
          <w:iCs w:val="false"/>
        </w:rPr>
        <w:t xml:space="preserve">Effect magnitudes receive weakly-informative, sign-constrained priors; the polarity of each predictor is imposed a priori rather than learned, which removes the sign-flipping and multicollinearity pathologies of unconstrained regression on correlated development indicators: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β</w:t>
      </w:r>
      <w:r>
        <w:rPr>
          <w:rFonts w:ascii="Cambria Math" w:cs="Cambria Math" w:eastAsia="Cambria Math" w:hAnsi="Cambria Math"/>
          <w:i/>
          <w:iCs/>
          <w:color w:val="1C2541"/>
          <w:sz w:val="16"/>
          <w:szCs w:val="16"/>
          <w:vertAlign w:val="subscript"/>
        </w:rPr>
        <w:t xml:space="preserve">jk</w:t>
      </w:r>
      <w:r>
        <w:rPr>
          <w:rFonts w:ascii="Cambria Math" w:cs="Cambria Math" w:eastAsia="Cambria Math" w:hAnsi="Cambria Math"/>
          <w:i/>
          <w:iCs/>
          <w:color w:val="1C2541"/>
          <w:sz w:val="23"/>
          <w:szCs w:val="23"/>
        </w:rPr>
        <w:t xml:space="preserve"> ~ Half-Normal(0, τ²),   σⱼ ~ Half-Normal(0, ω²),   s</w:t>
      </w:r>
      <w:r>
        <w:rPr>
          <w:rFonts w:ascii="Cambria Math" w:cs="Cambria Math" w:eastAsia="Cambria Math" w:hAnsi="Cambria Math"/>
          <w:i/>
          <w:iCs/>
          <w:color w:val="1C2541"/>
          <w:sz w:val="16"/>
          <w:szCs w:val="16"/>
          <w:vertAlign w:val="subscript"/>
        </w:rPr>
        <w:t xml:space="preserve">jk</w:t>
      </w:r>
      <w:r>
        <w:rPr>
          <w:rFonts w:ascii="Cambria Math" w:cs="Cambria Math" w:eastAsia="Cambria Math" w:hAnsi="Cambria Math"/>
          <w:i/>
          <w:iCs/>
          <w:color w:val="1C2541"/>
          <w:sz w:val="23"/>
          <w:szCs w:val="23"/>
        </w:rPr>
        <w:t xml:space="preserve"> fixed by evidence</w:t>
      </w:r>
    </w:p>
    <w:p>
      <w:pPr>
        <w:pStyle w:val="Heading2"/>
      </w:pPr>
      <w:r>
        <w:rPr>
          <w:b/>
          <w:bCs/>
          <w:color w:val="1C2541"/>
        </w:rPr>
        <w:t xml:space="preserve">3.4 Likelihood, posterior and inference</w:t>
      </w:r>
    </w:p>
    <w:p>
      <w:pPr>
        <w:spacing w:after="120" w:line="276"/>
        <w:jc w:val="both"/>
      </w:pPr>
      <w:r>
        <w:rPr>
          <w:b w:val="false"/>
          <w:bCs w:val="false"/>
          <w:i w:val="false"/>
          <w:iCs w:val="false"/>
        </w:rPr>
        <w:t xml:space="preserve">Given a mined country-year panel D, the posterior over the parameter set θ = {β, σ} is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p(θ | D) ∝ p(D | θ) · p(θ) = [ ∏</w:t>
      </w:r>
      <w:r>
        <w:rPr>
          <w:rFonts w:ascii="Cambria Math" w:cs="Cambria Math" w:eastAsia="Cambria Math" w:hAnsi="Cambria Math"/>
          <w:i/>
          <w:iCs/>
          <w:color w:val="1C2541"/>
          <w:sz w:val="16"/>
          <w:szCs w:val="16"/>
          <w:vertAlign w:val="subscript"/>
        </w:rPr>
        <w:t xml:space="preserve">i</w:t>
      </w:r>
      <w:r>
        <w:rPr>
          <w:rFonts w:ascii="Cambria Math" w:cs="Cambria Math" w:eastAsia="Cambria Math" w:hAnsi="Cambria Math"/>
          <w:i/>
          <w:iCs/>
          <w:color w:val="1C2541"/>
          <w:sz w:val="23"/>
          <w:szCs w:val="23"/>
        </w:rPr>
        <w:t xml:space="preserve"> ∏</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p( x</w:t>
      </w:r>
      <w:r>
        <w:rPr>
          <w:rFonts w:ascii="Cambria Math" w:cs="Cambria Math" w:eastAsia="Cambria Math" w:hAnsi="Cambria Math"/>
          <w:i/>
          <w:iCs/>
          <w:color w:val="1C2541"/>
          <w:sz w:val="16"/>
          <w:szCs w:val="16"/>
          <w:vertAlign w:val="subscript"/>
        </w:rPr>
        <w:t xml:space="preserve">ij</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i,pa(j)</w:t>
      </w:r>
      <w:r>
        <w:rPr>
          <w:rFonts w:ascii="Cambria Math" w:cs="Cambria Math" w:eastAsia="Cambria Math" w:hAnsi="Cambria Math"/>
          <w:i/>
          <w:iCs/>
          <w:color w:val="1C2541"/>
          <w:sz w:val="23"/>
          <w:szCs w:val="23"/>
        </w:rPr>
        <w:t xml:space="preserve">, θ ) ] · p(θ)</w:t>
      </w:r>
    </w:p>
    <w:p>
      <w:pPr>
        <w:spacing w:after="120" w:line="276"/>
        <w:jc w:val="both"/>
      </w:pPr>
      <w:r>
        <w:rPr>
          <w:b w:val="false"/>
          <w:bCs w:val="false"/>
          <w:i w:val="false"/>
          <w:iCs w:val="false"/>
        </w:rPr>
        <w:t xml:space="preserve">Node likelihoods match the node kind — Log-Normal for rates, Normal for continuous quantities, and Beta or Binomial for probabilities. The posterior is sampled by Hamiltonian Monte Carlo (the No-U-Turn Sampler) where data are sufficient; where a node is data-sparse, its coefficients are elicited from the published evidence base and enter as informative priors, and the engine runs in prior-predictive mode. Convergence is monitored by the potential scale-reduction factor and effective sample size.</w:t>
      </w:r>
    </w:p>
    <w:p>
      <w:pPr>
        <w:pStyle w:val="Heading2"/>
      </w:pPr>
      <w:r>
        <w:rPr>
          <w:b/>
          <w:bCs/>
          <w:color w:val="1C2541"/>
        </w:rPr>
        <w:t xml:space="preserve">3.5 Scenarios as interventions (do-operator)</w:t>
      </w:r>
    </w:p>
    <w:p>
      <w:pPr>
        <w:spacing w:after="120" w:line="276"/>
        <w:jc w:val="both"/>
      </w:pPr>
      <w:r>
        <w:rPr>
          <w:b w:val="false"/>
          <w:bCs w:val="false"/>
          <w:i w:val="false"/>
          <w:iCs w:val="false"/>
        </w:rPr>
        <w:t xml:space="preserve">A scenario is an intervention that fixes a set S of nodes at chosen values, do(Xₛ = xₛ). Following Pearl, the intervened distribution deletes the incoming edges of the intervened nodes and truncates the factorisation:</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 X | do(X</w:t>
      </w:r>
      <w:r>
        <w:rPr>
          <w:rFonts w:ascii="Cambria Math" w:cs="Cambria Math" w:eastAsia="Cambria Math" w:hAnsi="Cambria Math"/>
          <w:i/>
          <w:iCs/>
          <w:color w:val="1C2541"/>
          <w:sz w:val="16"/>
          <w:szCs w:val="16"/>
          <w:vertAlign w:val="subscript"/>
        </w:rPr>
        <w:t xml:space="preserve">S</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S</w:t>
      </w:r>
      <w:r>
        <w:rPr>
          <w:rFonts w:ascii="Cambria Math" w:cs="Cambria Math" w:eastAsia="Cambria Math" w:hAnsi="Cambria Math"/>
          <w:i/>
          <w:iCs/>
          <w:color w:val="1C2541"/>
          <w:sz w:val="23"/>
          <w:szCs w:val="23"/>
        </w:rPr>
        <w:t xml:space="preserve">) ) = ∏</w:t>
      </w:r>
      <w:r>
        <w:rPr>
          <w:rFonts w:ascii="Cambria Math" w:cs="Cambria Math" w:eastAsia="Cambria Math" w:hAnsi="Cambria Math"/>
          <w:i/>
          <w:iCs/>
          <w:color w:val="1C2541"/>
          <w:sz w:val="16"/>
          <w:szCs w:val="16"/>
          <w:vertAlign w:val="subscript"/>
        </w:rPr>
        <w:t xml:space="preserve">j∉S</w:t>
      </w:r>
      <w:r>
        <w:rPr>
          <w:rFonts w:ascii="Cambria Math" w:cs="Cambria Math" w:eastAsia="Cambria Math" w:hAnsi="Cambria Math"/>
          <w:i/>
          <w:iCs/>
          <w:color w:val="1C2541"/>
          <w:sz w:val="23"/>
          <w:szCs w:val="23"/>
        </w:rPr>
        <w:t xml:space="preserve"> p( X</w:t>
      </w:r>
      <w:r>
        <w:rPr>
          <w:rFonts w:ascii="Cambria Math" w:cs="Cambria Math" w:eastAsia="Cambria Math" w:hAnsi="Cambria Math"/>
          <w:i/>
          <w:iCs/>
          <w:color w:val="1C2541"/>
          <w:sz w:val="16"/>
          <w:szCs w:val="16"/>
          <w:vertAlign w:val="subscript"/>
        </w:rPr>
        <w:t xml:space="preserve">j</w:t>
      </w:r>
      <w:r>
        <w:rPr>
          <w:rFonts w:ascii="Cambria Math" w:cs="Cambria Math" w:eastAsia="Cambria Math" w:hAnsi="Cambria Math"/>
          <w:i/>
          <w:iCs/>
          <w:color w:val="1C2541"/>
          <w:sz w:val="23"/>
          <w:szCs w:val="23"/>
        </w:rPr>
        <w:t xml:space="preserve"> | X</w:t>
      </w:r>
      <w:r>
        <w:rPr>
          <w:rFonts w:ascii="Cambria Math" w:cs="Cambria Math" w:eastAsia="Cambria Math" w:hAnsi="Cambria Math"/>
          <w:i/>
          <w:iCs/>
          <w:color w:val="1C2541"/>
          <w:sz w:val="16"/>
          <w:szCs w:val="16"/>
          <w:vertAlign w:val="subscript"/>
        </w:rPr>
        <w:t xml:space="preserve">pa(j)</w:t>
      </w:r>
      <w:r>
        <w:rPr>
          <w:rFonts w:ascii="Cambria Math" w:cs="Cambria Math" w:eastAsia="Cambria Math" w:hAnsi="Cambria Math"/>
          <w:i/>
          <w:iCs/>
          <w:color w:val="1C2541"/>
          <w:sz w:val="23"/>
          <w:szCs w:val="23"/>
        </w:rPr>
        <w:t xml:space="preserve"> )</w:t>
      </w:r>
    </w:p>
    <w:p>
      <w:pPr>
        <w:spacing w:after="120" w:line="276"/>
        <w:jc w:val="both"/>
      </w:pPr>
      <w:r>
        <w:rPr>
          <w:b w:val="false"/>
          <w:bCs w:val="false"/>
          <w:i w:val="false"/>
          <w:iCs w:val="false"/>
        </w:rPr>
        <w:t xml:space="preserve">Scenario packages (Section 7) set several nodes at once across multiple layers — for example the safe-motherhood package raises skilled attendance and emergency obstetric care while lowering anaemia — and the effect propagates to all descendants through ancestral sampling.</w:t>
      </w:r>
    </w:p>
    <w:p>
      <w:pPr>
        <w:pStyle w:val="Heading2"/>
      </w:pPr>
      <w:r>
        <w:rPr>
          <w:b/>
          <w:bCs/>
          <w:color w:val="1C2541"/>
        </w:rPr>
        <w:t xml:space="preserve">3.6 Uncertainty propagation and target probabilities</w:t>
      </w:r>
    </w:p>
    <w:p>
      <w:pPr>
        <w:spacing w:after="120" w:line="276"/>
        <w:jc w:val="both"/>
      </w:pPr>
      <w:r>
        <w:rPr>
          <w:b w:val="false"/>
          <w:bCs w:val="false"/>
          <w:i w:val="false"/>
          <w:iCs w:val="false"/>
        </w:rPr>
        <w:t xml:space="preserve">The quantity of interest is the posterior predictive distribution of an outcome Y under a scenario, integrating over parameter uncertainty:</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 y | do(x</w:t>
      </w:r>
      <w:r>
        <w:rPr>
          <w:rFonts w:ascii="Cambria Math" w:cs="Cambria Math" w:eastAsia="Cambria Math" w:hAnsi="Cambria Math"/>
          <w:i/>
          <w:iCs/>
          <w:color w:val="1C2541"/>
          <w:sz w:val="16"/>
          <w:szCs w:val="16"/>
          <w:vertAlign w:val="subscript"/>
        </w:rPr>
        <w:t xml:space="preserve">S</w:t>
      </w:r>
      <w:r>
        <w:rPr>
          <w:rFonts w:ascii="Cambria Math" w:cs="Cambria Math" w:eastAsia="Cambria Math" w:hAnsi="Cambria Math"/>
          <w:i/>
          <w:iCs/>
          <w:color w:val="1C2541"/>
          <w:sz w:val="23"/>
          <w:szCs w:val="23"/>
        </w:rPr>
        <w:t xml:space="preserve">), D ) = ∫ p( y | do(x</w:t>
      </w:r>
      <w:r>
        <w:rPr>
          <w:rFonts w:ascii="Cambria Math" w:cs="Cambria Math" w:eastAsia="Cambria Math" w:hAnsi="Cambria Math"/>
          <w:i/>
          <w:iCs/>
          <w:color w:val="1C2541"/>
          <w:sz w:val="16"/>
          <w:szCs w:val="16"/>
          <w:vertAlign w:val="subscript"/>
        </w:rPr>
        <w:t xml:space="preserve">S</w:t>
      </w:r>
      <w:r>
        <w:rPr>
          <w:rFonts w:ascii="Cambria Math" w:cs="Cambria Math" w:eastAsia="Cambria Math" w:hAnsi="Cambria Math"/>
          <w:i/>
          <w:iCs/>
          <w:color w:val="1C2541"/>
          <w:sz w:val="23"/>
          <w:szCs w:val="23"/>
        </w:rPr>
        <w:t xml:space="preserve">), θ ) · p(θ | D) dθ</w:t>
      </w:r>
    </w:p>
    <w:p>
      <w:pPr>
        <w:spacing w:after="120" w:line="276"/>
        <w:jc w:val="both"/>
      </w:pPr>
      <w:r>
        <w:rPr>
          <w:b w:val="false"/>
          <w:bCs w:val="false"/>
          <w:i w:val="false"/>
          <w:iCs w:val="false"/>
        </w:rPr>
        <w:t xml:space="preserve">This integral is approximated by Monte Carlo: for each of N draws, coefficients are sampled from p(θ|D), the DAG is evaluated by ancestral sampling under the intervention, and node noise is added. The resulting sample summarises to a posterior mean, a 95% credible interval, and the probability of meeting a policy target y*:</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 Y ≤ y* | do(x</w:t>
      </w:r>
      <w:r>
        <w:rPr>
          <w:rFonts w:ascii="Cambria Math" w:cs="Cambria Math" w:eastAsia="Cambria Math" w:hAnsi="Cambria Math"/>
          <w:i/>
          <w:iCs/>
          <w:color w:val="1C2541"/>
          <w:sz w:val="16"/>
          <w:szCs w:val="16"/>
          <w:vertAlign w:val="subscript"/>
        </w:rPr>
        <w:t xml:space="preserve">S</w:t>
      </w:r>
      <w:r>
        <w:rPr>
          <w:rFonts w:ascii="Cambria Math" w:cs="Cambria Math" w:eastAsia="Cambria Math" w:hAnsi="Cambria Math"/>
          <w:i/>
          <w:iCs/>
          <w:color w:val="1C2541"/>
          <w:sz w:val="23"/>
          <w:szCs w:val="23"/>
        </w:rPr>
        <w:t xml:space="preserve">), D ) = E[ I(Y ≤ y*) ] ≈ (1/N) ∑</w:t>
      </w:r>
      <w:r>
        <w:rPr>
          <w:rFonts w:ascii="Cambria Math" w:cs="Cambria Math" w:eastAsia="Cambria Math" w:hAnsi="Cambria Math"/>
          <w:i/>
          <w:iCs/>
          <w:color w:val="1C2541"/>
          <w:sz w:val="16"/>
          <w:szCs w:val="16"/>
          <w:vertAlign w:val="subscript"/>
        </w:rPr>
        <w:t xml:space="preserve">n</w:t>
      </w:r>
      <w:r>
        <w:rPr>
          <w:rFonts w:ascii="Cambria Math" w:cs="Cambria Math" w:eastAsia="Cambria Math" w:hAnsi="Cambria Math"/>
          <w:i/>
          <w:iCs/>
          <w:color w:val="1C2541"/>
          <w:sz w:val="23"/>
          <w:szCs w:val="23"/>
        </w:rPr>
        <w:t xml:space="preserve"> I( y⁽ⁿ⁾ ≤ y* )</w:t>
      </w:r>
    </w:p>
    <w:p>
      <w:pPr>
        <w:spacing w:after="120" w:line="276"/>
        <w:jc w:val="both"/>
      </w:pPr>
      <w:r>
        <w:rPr>
          <w:b w:val="false"/>
          <w:bCs w:val="false"/>
          <w:i w:val="false"/>
          <w:iCs w:val="false"/>
        </w:rPr>
        <w:t xml:space="preserve">Total predictive variance decomposes into epistemic (parameter) uncertainty from p(θ|D) and aleatoric (node) uncertainty from the σⱼ; both are carried end-to-end so that a downstream outcome inherits the uncertainty of every determinant above it.</w:t>
      </w:r>
    </w:p>
    <w:tbl>
      <w:tblPr>
        <w:tblW w:type="dxa" w:w="9360"/>
        <w:tblBorders>
          <w:top w:val="none"/>
          <w:left w:val="none"/>
          <w:bottom w:val="none"/>
          <w:right w:val="none"/>
          <w:insideH w:val="none"/>
          <w:insideV w:val="none"/>
        </w:tblBorders>
      </w:tblPr>
      <w:tblGrid>
        <w:gridCol w:w="70"/>
        <w:gridCol w:w="9290"/>
      </w:tblGrid>
      <w:tr>
        <w:tc>
          <w:tcPr>
            <w:tcW w:type="dxa" w:w="70"/>
            <w:shd w:fill="1C7C74" w:val="clear"/>
          </w:tcPr>
          <w:p/>
        </w:tc>
        <w:tc>
          <w:tcPr>
            <w:tcW w:type="dxa" w:w="9290"/>
            <w:shd w:fill="EEF2F6" w:val="clear"/>
            <w:tcMar>
              <w:top w:type="dxa" w:w="90"/>
              <w:left w:type="dxa" w:w="150"/>
              <w:bottom w:type="dxa" w:w="90"/>
              <w:right w:type="dxa" w:w="130"/>
            </w:tcMar>
          </w:tcPr>
          <w:p>
            <w:pPr>
              <w:spacing w:after="50"/>
            </w:pPr>
            <w:r>
              <w:rPr>
                <w:b/>
                <w:bCs/>
                <w:color w:val="1C2541"/>
              </w:rPr>
              <w:t xml:space="preserve">Reference implementation</w:t>
            </w:r>
          </w:p>
          <w:p>
            <w:pPr>
              <w:spacing w:after="0" w:line="266"/>
              <w:jc w:val="both"/>
            </w:pPr>
            <w:r>
              <w:rPr>
                <w:sz w:val="19"/>
                <w:szCs w:val="19"/>
              </w:rPr>
              <w:t xml:space="preserve">The shipped engine (scenario_engine/bayes_engine.py) performs exactly this Monte-Carlo forward propagation with sign-constrained coefficient draws, do-operator overrides and posterior-predictive summaries. On the illustrative HIV network it reproduces the observed baseline; the “HIV Acceleration” package (ART, testing and supply-chain to ≥90%) lowers modelled incidence by about 17% with a full credible interval, while a conflict shock raises it by about 10% by degrading the supply chain → ART → viral-suppression cascade.</w:t>
            </w:r>
          </w:p>
        </w:tc>
      </w:tr>
    </w:tbl>
    <w:p>
      <w:pPr>
        <w:pStyle w:val="Heading2"/>
      </w:pPr>
      <w:r>
        <w:rPr>
          <w:b/>
          <w:bCs/>
          <w:color w:val="1C2541"/>
        </w:rPr>
        <w:t xml:space="preserve">3.7 Shocks as exogenous nodes</w:t>
      </w:r>
    </w:p>
    <w:p>
      <w:pPr>
        <w:spacing w:after="120" w:line="276"/>
        <w:jc w:val="both"/>
      </w:pPr>
      <w:r>
        <w:rPr>
          <w:b w:val="false"/>
          <w:bCs w:val="false"/>
          <w:i w:val="false"/>
          <w:iCs w:val="false"/>
        </w:rPr>
        <w:t xml:space="preserve">Shocks are root nodes with no parents whose activation shifts the linear predictors of the system-layer nodes they touch (for example a flood lowers road access and facility readiness and raises malaria transmission). Setting a shock is itself a do-intervention, so a scenario can combine investments and shocks in the same run — the engine updates every downstream probability jointly.</w:t>
      </w:r>
    </w:p>
    <w:p>
      <w:r>
        <w:br w:type="page"/>
      </w:r>
    </w:p>
    <w:p>
      <w:pPr>
        <w:pStyle w:val="Heading1"/>
      </w:pPr>
      <w:r>
        <w:rPr>
          <w:b/>
          <w:bCs/>
          <w:color w:val="0B132B"/>
        </w:rPr>
        <w:t xml:space="preserve">4. Data sources, API mining and simulation</w:t>
      </w:r>
    </w:p>
    <w:p>
      <w:pPr>
        <w:spacing w:after="120" w:line="276"/>
        <w:jc w:val="both"/>
      </w:pPr>
      <w:r>
        <w:rPr>
          <w:b w:val="false"/>
          <w:bCs w:val="false"/>
          <w:i w:val="false"/>
          <w:iCs w:val="false"/>
        </w:rPr>
        <w:t xml:space="preserve">Data ingestion is organised into domain-specific API connectors feeding the shared warehouse. Where an indicator is available from an open API it is mined directly; where it is not, a simulated value is generated under an explicit, documented protocol so the DAG remains fully populated for all 47 member states.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500"/>
        <w:gridCol w:w="4300"/>
        <w:gridCol w:w="2560"/>
      </w:tblGrid>
      <w:tr>
        <w:trPr>
          <w:tblHeader/>
        </w:trPr>
        <w:tc>
          <w:tcPr>
            <w:tcW w:type="dxa" w:w="2500"/>
            <w:shd w:fill="0B132B" w:val="clear"/>
            <w:tcMar>
              <w:top w:type="dxa" w:w="52"/>
              <w:left w:type="dxa" w:w="80"/>
              <w:bottom w:type="dxa" w:w="52"/>
              <w:right w:type="dxa" w:w="80"/>
            </w:tcMar>
          </w:tcPr>
          <w:p>
            <w:pPr>
              <w:spacing w:after="0" w:line="244"/>
              <w:jc w:val="left"/>
            </w:pPr>
            <w:r>
              <w:rPr>
                <w:b/>
                <w:bCs/>
                <w:color w:val="FFFFFF"/>
                <w:sz w:val="17"/>
                <w:szCs w:val="17"/>
              </w:rPr>
              <w:t xml:space="preserve">Domain</w:t>
            </w:r>
          </w:p>
        </w:tc>
        <w:tc>
          <w:tcPr>
            <w:tcW w:type="dxa" w:w="4300"/>
            <w:shd w:fill="0B132B" w:val="clear"/>
            <w:tcMar>
              <w:top w:type="dxa" w:w="52"/>
              <w:left w:type="dxa" w:w="80"/>
              <w:bottom w:type="dxa" w:w="52"/>
              <w:right w:type="dxa" w:w="80"/>
            </w:tcMar>
          </w:tcPr>
          <w:p>
            <w:pPr>
              <w:spacing w:after="0" w:line="244"/>
              <w:jc w:val="left"/>
            </w:pPr>
            <w:r>
              <w:rPr>
                <w:b/>
                <w:bCs/>
                <w:color w:val="FFFFFF"/>
                <w:sz w:val="17"/>
                <w:szCs w:val="17"/>
              </w:rPr>
              <w:t xml:space="preserve">Primary source(s)</w:t>
            </w:r>
          </w:p>
        </w:tc>
        <w:tc>
          <w:tcPr>
            <w:tcW w:type="dxa" w:w="2560"/>
            <w:shd w:fill="0B132B" w:val="clear"/>
            <w:tcMar>
              <w:top w:type="dxa" w:w="52"/>
              <w:left w:type="dxa" w:w="80"/>
              <w:bottom w:type="dxa" w:w="52"/>
              <w:right w:type="dxa" w:w="80"/>
            </w:tcMar>
          </w:tcPr>
          <w:p>
            <w:pPr>
              <w:spacing w:after="0" w:line="244"/>
              <w:jc w:val="left"/>
            </w:pPr>
            <w:r>
              <w:rPr>
                <w:b/>
                <w:bCs/>
                <w:color w:val="FFFFFF"/>
                <w:sz w:val="17"/>
                <w:szCs w:val="17"/>
              </w:rPr>
              <w:t xml:space="preserve">Access</w:t>
            </w:r>
          </w:p>
        </w:tc>
      </w:tr>
      <w:tr>
        <w:tc>
          <w:tcPr>
            <w:tcW w:type="dxa" w:w="2500"/>
            <w:shd w:fill="FFFFFF" w:val="clear"/>
            <w:tcMar>
              <w:top w:type="dxa" w:w="52"/>
              <w:left w:type="dxa" w:w="80"/>
              <w:bottom w:type="dxa" w:w="52"/>
              <w:right w:type="dxa" w:w="80"/>
            </w:tcMar>
          </w:tcPr>
          <w:p>
            <w:pPr>
              <w:spacing w:after="0" w:line="244"/>
              <w:jc w:val="left"/>
            </w:pPr>
            <w:r>
              <w:rPr>
                <w:b w:val="false"/>
                <w:bCs w:val="false"/>
                <w:sz w:val="17"/>
                <w:szCs w:val="17"/>
              </w:rPr>
              <w:t xml:space="preserve">Health outcomes, service coverage, workforce</w:t>
            </w:r>
          </w:p>
        </w:tc>
        <w:tc>
          <w:tcPr>
            <w:tcW w:type="dxa" w:w="4300"/>
            <w:shd w:fill="FFFFFF" w:val="clear"/>
            <w:tcMar>
              <w:top w:type="dxa" w:w="52"/>
              <w:left w:type="dxa" w:w="80"/>
              <w:bottom w:type="dxa" w:w="52"/>
              <w:right w:type="dxa" w:w="80"/>
            </w:tcMar>
          </w:tcPr>
          <w:p>
            <w:pPr>
              <w:spacing w:after="0" w:line="244"/>
              <w:jc w:val="left"/>
            </w:pPr>
            <w:r>
              <w:rPr>
                <w:b w:val="false"/>
                <w:bCs w:val="false"/>
                <w:sz w:val="17"/>
                <w:szCs w:val="17"/>
              </w:rPr>
              <w:t xml:space="preserve">WHO Global Health Observatory (GHO)</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REST / OData</w:t>
            </w:r>
          </w:p>
        </w:tc>
      </w:tr>
      <w:tr>
        <w:tc>
          <w:tcPr>
            <w:tcW w:type="dxa" w:w="2500"/>
            <w:shd w:fill="EEF2F6" w:val="clear"/>
            <w:tcMar>
              <w:top w:type="dxa" w:w="52"/>
              <w:left w:type="dxa" w:w="80"/>
              <w:bottom w:type="dxa" w:w="52"/>
              <w:right w:type="dxa" w:w="80"/>
            </w:tcMar>
          </w:tcPr>
          <w:p>
            <w:pPr>
              <w:spacing w:after="0" w:line="244"/>
              <w:jc w:val="left"/>
            </w:pPr>
            <w:r>
              <w:rPr>
                <w:b w:val="false"/>
                <w:bCs w:val="false"/>
                <w:sz w:val="17"/>
                <w:szCs w:val="17"/>
              </w:rPr>
              <w:t xml:space="preserve">Expenditure, demography, poverty, literacy, roads</w:t>
            </w:r>
          </w:p>
        </w:tc>
        <w:tc>
          <w:tcPr>
            <w:tcW w:type="dxa" w:w="4300"/>
            <w:shd w:fill="EEF2F6" w:val="clear"/>
            <w:tcMar>
              <w:top w:type="dxa" w:w="52"/>
              <w:left w:type="dxa" w:w="80"/>
              <w:bottom w:type="dxa" w:w="52"/>
              <w:right w:type="dxa" w:w="80"/>
            </w:tcMar>
          </w:tcPr>
          <w:p>
            <w:pPr>
              <w:spacing w:after="0" w:line="244"/>
              <w:jc w:val="left"/>
            </w:pPr>
            <w:r>
              <w:rPr>
                <w:b w:val="false"/>
                <w:bCs w:val="false"/>
                <w:sz w:val="17"/>
                <w:szCs w:val="17"/>
              </w:rPr>
              <w:t xml:space="preserve">World Bank Indicators API</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REST</w:t>
            </w:r>
          </w:p>
        </w:tc>
      </w:tr>
      <w:tr>
        <w:tc>
          <w:tcPr>
            <w:tcW w:type="dxa" w:w="2500"/>
            <w:shd w:fill="FFFFFF" w:val="clear"/>
            <w:tcMar>
              <w:top w:type="dxa" w:w="52"/>
              <w:left w:type="dxa" w:w="80"/>
              <w:bottom w:type="dxa" w:w="52"/>
              <w:right w:type="dxa" w:w="80"/>
            </w:tcMar>
          </w:tcPr>
          <w:p>
            <w:pPr>
              <w:spacing w:after="0" w:line="244"/>
              <w:jc w:val="left"/>
            </w:pPr>
            <w:r>
              <w:rPr>
                <w:b w:val="false"/>
                <w:bCs w:val="false"/>
                <w:sz w:val="17"/>
                <w:szCs w:val="17"/>
              </w:rPr>
              <w:t xml:space="preserve">Population, fertility, projections</w:t>
            </w:r>
          </w:p>
        </w:tc>
        <w:tc>
          <w:tcPr>
            <w:tcW w:type="dxa" w:w="4300"/>
            <w:shd w:fill="FFFFFF" w:val="clear"/>
            <w:tcMar>
              <w:top w:type="dxa" w:w="52"/>
              <w:left w:type="dxa" w:w="80"/>
              <w:bottom w:type="dxa" w:w="52"/>
              <w:right w:type="dxa" w:w="80"/>
            </w:tcMar>
          </w:tcPr>
          <w:p>
            <w:pPr>
              <w:spacing w:after="0" w:line="244"/>
              <w:jc w:val="left"/>
            </w:pPr>
            <w:r>
              <w:rPr>
                <w:b w:val="false"/>
                <w:bCs w:val="false"/>
                <w:sz w:val="17"/>
                <w:szCs w:val="17"/>
              </w:rPr>
              <w:t xml:space="preserve">UN Population Division / UN Statistics</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API / SDMX</w:t>
            </w:r>
          </w:p>
        </w:tc>
      </w:tr>
      <w:tr>
        <w:tc>
          <w:tcPr>
            <w:tcW w:type="dxa" w:w="2500"/>
            <w:shd w:fill="EEF2F6" w:val="clear"/>
            <w:tcMar>
              <w:top w:type="dxa" w:w="52"/>
              <w:left w:type="dxa" w:w="80"/>
              <w:bottom w:type="dxa" w:w="52"/>
              <w:right w:type="dxa" w:w="80"/>
            </w:tcMar>
          </w:tcPr>
          <w:p>
            <w:pPr>
              <w:spacing w:after="0" w:line="244"/>
              <w:jc w:val="left"/>
            </w:pPr>
            <w:r>
              <w:rPr>
                <w:b w:val="false"/>
                <w:bCs w:val="false"/>
                <w:sz w:val="17"/>
                <w:szCs w:val="17"/>
              </w:rPr>
              <w:t xml:space="preserve">Maternal health, family planning, SRHR</w:t>
            </w:r>
          </w:p>
        </w:tc>
        <w:tc>
          <w:tcPr>
            <w:tcW w:type="dxa" w:w="4300"/>
            <w:shd w:fill="EEF2F6" w:val="clear"/>
            <w:tcMar>
              <w:top w:type="dxa" w:w="52"/>
              <w:left w:type="dxa" w:w="80"/>
              <w:bottom w:type="dxa" w:w="52"/>
              <w:right w:type="dxa" w:w="80"/>
            </w:tcMar>
          </w:tcPr>
          <w:p>
            <w:pPr>
              <w:spacing w:after="0" w:line="244"/>
              <w:jc w:val="left"/>
            </w:pPr>
            <w:r>
              <w:rPr>
                <w:b w:val="false"/>
                <w:bCs w:val="false"/>
                <w:sz w:val="17"/>
                <w:szCs w:val="17"/>
              </w:rPr>
              <w:t xml:space="preserve">UNFPA data API and dashboards</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API / download</w:t>
            </w:r>
          </w:p>
        </w:tc>
      </w:tr>
      <w:tr>
        <w:tc>
          <w:tcPr>
            <w:tcW w:type="dxa" w:w="2500"/>
            <w:shd w:fill="FFFFFF" w:val="clear"/>
            <w:tcMar>
              <w:top w:type="dxa" w:w="52"/>
              <w:left w:type="dxa" w:w="80"/>
              <w:bottom w:type="dxa" w:w="52"/>
              <w:right w:type="dxa" w:w="80"/>
            </w:tcMar>
          </w:tcPr>
          <w:p>
            <w:pPr>
              <w:spacing w:after="0" w:line="244"/>
              <w:jc w:val="left"/>
            </w:pPr>
            <w:r>
              <w:rPr>
                <w:b w:val="false"/>
                <w:bCs w:val="false"/>
                <w:sz w:val="17"/>
                <w:szCs w:val="17"/>
              </w:rPr>
              <w:t xml:space="preserve">Child mortality, immunisation, nutrition</w:t>
            </w:r>
          </w:p>
        </w:tc>
        <w:tc>
          <w:tcPr>
            <w:tcW w:type="dxa" w:w="4300"/>
            <w:shd w:fill="FFFFFF" w:val="clear"/>
            <w:tcMar>
              <w:top w:type="dxa" w:w="52"/>
              <w:left w:type="dxa" w:w="80"/>
              <w:bottom w:type="dxa" w:w="52"/>
              <w:right w:type="dxa" w:w="80"/>
            </w:tcMar>
          </w:tcPr>
          <w:p>
            <w:pPr>
              <w:spacing w:after="0" w:line="244"/>
              <w:jc w:val="left"/>
            </w:pPr>
            <w:r>
              <w:rPr>
                <w:b w:val="false"/>
                <w:bCs w:val="false"/>
                <w:sz w:val="17"/>
                <w:szCs w:val="17"/>
              </w:rPr>
              <w:t xml:space="preserve">UNICEF data API (SDMX)</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API</w:t>
            </w:r>
          </w:p>
        </w:tc>
      </w:tr>
      <w:tr>
        <w:tc>
          <w:tcPr>
            <w:tcW w:type="dxa" w:w="2500"/>
            <w:shd w:fill="EEF2F6" w:val="clear"/>
            <w:tcMar>
              <w:top w:type="dxa" w:w="52"/>
              <w:left w:type="dxa" w:w="80"/>
              <w:bottom w:type="dxa" w:w="52"/>
              <w:right w:type="dxa" w:w="80"/>
            </w:tcMar>
          </w:tcPr>
          <w:p>
            <w:pPr>
              <w:spacing w:after="0" w:line="244"/>
              <w:jc w:val="left"/>
            </w:pPr>
            <w:r>
              <w:rPr>
                <w:b w:val="false"/>
                <w:bCs w:val="false"/>
                <w:sz w:val="17"/>
                <w:szCs w:val="17"/>
              </w:rPr>
              <w:t xml:space="preserve">HIV</w:t>
            </w:r>
          </w:p>
        </w:tc>
        <w:tc>
          <w:tcPr>
            <w:tcW w:type="dxa" w:w="4300"/>
            <w:shd w:fill="EEF2F6" w:val="clear"/>
            <w:tcMar>
              <w:top w:type="dxa" w:w="52"/>
              <w:left w:type="dxa" w:w="80"/>
              <w:bottom w:type="dxa" w:w="52"/>
              <w:right w:type="dxa" w:w="80"/>
            </w:tcMar>
          </w:tcPr>
          <w:p>
            <w:pPr>
              <w:spacing w:after="0" w:line="244"/>
              <w:jc w:val="left"/>
            </w:pPr>
            <w:r>
              <w:rPr>
                <w:b w:val="false"/>
                <w:bCs w:val="false"/>
                <w:sz w:val="17"/>
                <w:szCs w:val="17"/>
              </w:rPr>
              <w:t xml:space="preserve">UNAIDS data API</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API / download</w:t>
            </w:r>
          </w:p>
        </w:tc>
      </w:tr>
      <w:tr>
        <w:tc>
          <w:tcPr>
            <w:tcW w:type="dxa" w:w="2500"/>
            <w:shd w:fill="FFFFFF" w:val="clear"/>
            <w:tcMar>
              <w:top w:type="dxa" w:w="52"/>
              <w:left w:type="dxa" w:w="80"/>
              <w:bottom w:type="dxa" w:w="52"/>
              <w:right w:type="dxa" w:w="80"/>
            </w:tcMar>
          </w:tcPr>
          <w:p>
            <w:pPr>
              <w:spacing w:after="0" w:line="244"/>
              <w:jc w:val="left"/>
            </w:pPr>
            <w:r>
              <w:rPr>
                <w:b w:val="false"/>
                <w:bCs w:val="false"/>
                <w:sz w:val="17"/>
                <w:szCs w:val="17"/>
              </w:rPr>
              <w:t xml:space="preserve">TB; malaria</w:t>
            </w:r>
          </w:p>
        </w:tc>
        <w:tc>
          <w:tcPr>
            <w:tcW w:type="dxa" w:w="4300"/>
            <w:shd w:fill="FFFFFF" w:val="clear"/>
            <w:tcMar>
              <w:top w:type="dxa" w:w="52"/>
              <w:left w:type="dxa" w:w="80"/>
              <w:bottom w:type="dxa" w:w="52"/>
              <w:right w:type="dxa" w:w="80"/>
            </w:tcMar>
          </w:tcPr>
          <w:p>
            <w:pPr>
              <w:spacing w:after="0" w:line="244"/>
              <w:jc w:val="left"/>
            </w:pPr>
            <w:r>
              <w:rPr>
                <w:b w:val="false"/>
                <w:bCs w:val="false"/>
                <w:sz w:val="17"/>
                <w:szCs w:val="17"/>
              </w:rPr>
              <w:t xml:space="preserve">WHO TB and Global Malaria Programme datasets</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API / download</w:t>
            </w:r>
          </w:p>
        </w:tc>
      </w:tr>
      <w:tr>
        <w:tc>
          <w:tcPr>
            <w:tcW w:type="dxa" w:w="2500"/>
            <w:shd w:fill="EEF2F6" w:val="clear"/>
            <w:tcMar>
              <w:top w:type="dxa" w:w="52"/>
              <w:left w:type="dxa" w:w="80"/>
              <w:bottom w:type="dxa" w:w="52"/>
              <w:right w:type="dxa" w:w="80"/>
            </w:tcMar>
          </w:tcPr>
          <w:p>
            <w:pPr>
              <w:spacing w:after="0" w:line="244"/>
              <w:jc w:val="left"/>
            </w:pPr>
            <w:r>
              <w:rPr>
                <w:b w:val="false"/>
                <w:bCs w:val="false"/>
                <w:sz w:val="17"/>
                <w:szCs w:val="17"/>
              </w:rPr>
              <w:t xml:space="preserve">Conflict; disasters</w:t>
            </w:r>
          </w:p>
        </w:tc>
        <w:tc>
          <w:tcPr>
            <w:tcW w:type="dxa" w:w="4300"/>
            <w:shd w:fill="EEF2F6" w:val="clear"/>
            <w:tcMar>
              <w:top w:type="dxa" w:w="52"/>
              <w:left w:type="dxa" w:w="80"/>
              <w:bottom w:type="dxa" w:w="52"/>
              <w:right w:type="dxa" w:w="80"/>
            </w:tcMar>
          </w:tcPr>
          <w:p>
            <w:pPr>
              <w:spacing w:after="0" w:line="244"/>
              <w:jc w:val="left"/>
            </w:pPr>
            <w:r>
              <w:rPr>
                <w:b w:val="false"/>
                <w:bCs w:val="false"/>
                <w:sz w:val="17"/>
                <w:szCs w:val="17"/>
              </w:rPr>
              <w:t xml:space="preserve">ACLED; EM-DAT</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REST / download</w:t>
            </w:r>
          </w:p>
        </w:tc>
      </w:tr>
      <w:tr>
        <w:tc>
          <w:tcPr>
            <w:tcW w:type="dxa" w:w="2500"/>
            <w:shd w:fill="FFFFFF" w:val="clear"/>
            <w:tcMar>
              <w:top w:type="dxa" w:w="52"/>
              <w:left w:type="dxa" w:w="80"/>
              <w:bottom w:type="dxa" w:w="52"/>
              <w:right w:type="dxa" w:w="80"/>
            </w:tcMar>
          </w:tcPr>
          <w:p>
            <w:pPr>
              <w:spacing w:after="0" w:line="244"/>
              <w:jc w:val="left"/>
            </w:pPr>
            <w:r>
              <w:rPr>
                <w:b w:val="false"/>
                <w:bCs w:val="false"/>
                <w:sz w:val="17"/>
                <w:szCs w:val="17"/>
              </w:rPr>
              <w:t xml:space="preserve">Country routine data</w:t>
            </w:r>
          </w:p>
        </w:tc>
        <w:tc>
          <w:tcPr>
            <w:tcW w:type="dxa" w:w="4300"/>
            <w:shd w:fill="FFFFFF" w:val="clear"/>
            <w:tcMar>
              <w:top w:type="dxa" w:w="52"/>
              <w:left w:type="dxa" w:w="80"/>
              <w:bottom w:type="dxa" w:w="52"/>
              <w:right w:type="dxa" w:w="80"/>
            </w:tcMar>
          </w:tcPr>
          <w:p>
            <w:pPr>
              <w:spacing w:after="0" w:line="244"/>
              <w:jc w:val="left"/>
            </w:pPr>
            <w:r>
              <w:rPr>
                <w:b w:val="false"/>
                <w:bCs w:val="false"/>
                <w:sz w:val="17"/>
                <w:szCs w:val="17"/>
              </w:rPr>
              <w:t xml:space="preserve">DHIS2 Web API</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REST</w:t>
            </w:r>
          </w:p>
        </w:tc>
      </w:tr>
    </w:tbl>
    <w:p>
      <w:pPr>
        <w:spacing w:after="20" w:line="276"/>
        <w:jc w:val="both"/>
      </w:pPr>
      <w:r>
        <w:rPr>
          <w:b w:val="false"/>
          <w:bCs w:val="false"/>
          <w:i w:val="false"/>
          <w:iCs w:val="false"/>
        </w:rPr>
        <w:t xml:space="preserve"/>
      </w:r>
    </w:p>
    <w:p>
      <w:pPr>
        <w:pStyle w:val="Heading2"/>
      </w:pPr>
      <w:r>
        <w:rPr>
          <w:b/>
          <w:bCs/>
          <w:color w:val="1C2541"/>
        </w:rPr>
        <w:t xml:space="preserve">4.1 Simulation protocol for unavailable indicators</w:t>
      </w:r>
    </w:p>
    <w:p>
      <w:pPr>
        <w:spacing w:after="120" w:line="276"/>
        <w:jc w:val="both"/>
      </w:pPr>
      <w:r>
        <w:rPr>
          <w:b w:val="false"/>
          <w:bCs w:val="false"/>
          <w:i w:val="false"/>
          <w:iCs w:val="false"/>
        </w:rPr>
        <w:t xml:space="preserve">When an indicator has no open API (for example blood availability, referral efficiency, ambulance coverage, or facility-level readiness), a value is simulated rather than left missing. Simulated draws are anchored to the country's subregional distribution and correlated with observed proxies, then flagged in metadata as simulated so no simulated figure is mistaken for an observation. Formally a missing node value is drawn from a truncated normal centred on the subregional median and shrunk toward any available proxy, preserving realistic cross-country structure while remaining clearly labelled.</w:t>
      </w:r>
    </w:p>
    <w:p>
      <w:pPr>
        <w:pStyle w:val="Heading2"/>
      </w:pPr>
      <w:r>
        <w:rPr>
          <w:b/>
          <w:bCs/>
          <w:color w:val="1C2541"/>
        </w:rPr>
        <w:t xml:space="preserve">4.2 Mining HIS maturity from the regional assessment</w:t>
      </w:r>
    </w:p>
    <w:p>
      <w:pPr>
        <w:spacing w:after="120" w:line="276"/>
        <w:jc w:val="both"/>
      </w:pPr>
      <w:r>
        <w:rPr>
          <w:b w:val="false"/>
          <w:bCs w:val="false"/>
          <w:i w:val="false"/>
          <w:iCs w:val="false"/>
        </w:rPr>
        <w:t xml:space="preserve">The health-information-system (HIS) maturity determinant is mined directly from the WHO AFRO assessment of the maturity and functionality of health information systems. That assessment scores each country on a six-point scale across four domains — governance and leadership; data generation and management; data analysis and synthesis; and communication and use — and classifies overall maturity into five bands: nascent (0–20%), emerging (21–40%), early (41–60%), advanced (61–80%) and optimized (&gt;80%).</w:t>
      </w:r>
    </w:p>
    <w:p>
      <w:pPr>
        <w:spacing w:after="120" w:line="276"/>
        <w:jc w:val="both"/>
      </w:pPr>
      <w:r>
        <w:rPr>
          <w:b w:val="false"/>
          <w:bCs w:val="false"/>
          <w:i w:val="false"/>
          <w:iCs w:val="false"/>
        </w:rPr>
        <w:t xml:space="preserve">From the report's governance sub-domain table and data-generation capability table, IHSA extracts country-level sub-scores, computes domain means and an overall maturity index, and assigns each country a band. The mined panel covers the 38 assessed countries; on the two tabulated domains the regional picture is dominated by early and advanced maturity, with a small group at emerging maturity and none yet optimized — a distribution that quantifies the report's conclusion that the Region's HIS remain at an early stage overall.</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600"/>
        <w:gridCol w:w="2100"/>
        <w:gridCol w:w="2100"/>
        <w:gridCol w:w="2560"/>
      </w:tblGrid>
      <w:tr>
        <w:trPr>
          <w:tblHeader/>
        </w:trPr>
        <w:tc>
          <w:tcPr>
            <w:tcW w:type="dxa" w:w="2600"/>
            <w:shd w:fill="0B132B" w:val="clear"/>
            <w:tcMar>
              <w:top w:type="dxa" w:w="52"/>
              <w:left w:type="dxa" w:w="80"/>
              <w:bottom w:type="dxa" w:w="52"/>
              <w:right w:type="dxa" w:w="80"/>
            </w:tcMar>
          </w:tcPr>
          <w:p>
            <w:pPr>
              <w:spacing w:after="0" w:line="244"/>
              <w:jc w:val="left"/>
            </w:pPr>
            <w:r>
              <w:rPr>
                <w:b/>
                <w:bCs/>
                <w:color w:val="FFFFFF"/>
                <w:sz w:val="17"/>
                <w:szCs w:val="17"/>
              </w:rPr>
              <w:t xml:space="preserve">HIS maturity band</w:t>
            </w:r>
          </w:p>
        </w:tc>
        <w:tc>
          <w:tcPr>
            <w:tcW w:type="dxa" w:w="2100"/>
            <w:shd w:fill="0B132B" w:val="clear"/>
            <w:tcMar>
              <w:top w:type="dxa" w:w="52"/>
              <w:left w:type="dxa" w:w="80"/>
              <w:bottom w:type="dxa" w:w="52"/>
              <w:right w:type="dxa" w:w="80"/>
            </w:tcMar>
          </w:tcPr>
          <w:p>
            <w:pPr>
              <w:spacing w:after="0" w:line="244"/>
              <w:jc w:val="left"/>
            </w:pPr>
            <w:r>
              <w:rPr>
                <w:b/>
                <w:bCs/>
                <w:color w:val="FFFFFF"/>
                <w:sz w:val="17"/>
                <w:szCs w:val="17"/>
              </w:rPr>
              <w:t xml:space="preserve">Score range</w:t>
            </w:r>
          </w:p>
        </w:tc>
        <w:tc>
          <w:tcPr>
            <w:tcW w:type="dxa" w:w="2100"/>
            <w:shd w:fill="0B132B" w:val="clear"/>
            <w:tcMar>
              <w:top w:type="dxa" w:w="52"/>
              <w:left w:type="dxa" w:w="80"/>
              <w:bottom w:type="dxa" w:w="52"/>
              <w:right w:type="dxa" w:w="80"/>
            </w:tcMar>
          </w:tcPr>
          <w:p>
            <w:pPr>
              <w:spacing w:after="0" w:line="244"/>
              <w:jc w:val="left"/>
            </w:pPr>
            <w:r>
              <w:rPr>
                <w:b/>
                <w:bCs/>
                <w:color w:val="FFFFFF"/>
                <w:sz w:val="17"/>
                <w:szCs w:val="17"/>
              </w:rPr>
              <w:t xml:space="preserve">Countries (assessed domains)</w:t>
            </w:r>
          </w:p>
        </w:tc>
        <w:tc>
          <w:tcPr>
            <w:tcW w:type="dxa" w:w="2560"/>
            <w:shd w:fill="0B132B" w:val="clear"/>
            <w:tcMar>
              <w:top w:type="dxa" w:w="52"/>
              <w:left w:type="dxa" w:w="80"/>
              <w:bottom w:type="dxa" w:w="52"/>
              <w:right w:type="dxa" w:w="80"/>
            </w:tcMar>
          </w:tcPr>
          <w:p>
            <w:pPr>
              <w:spacing w:after="0" w:line="244"/>
              <w:jc w:val="left"/>
            </w:pPr>
            <w:r>
              <w:rPr>
                <w:b/>
                <w:bCs/>
                <w:color w:val="FFFFFF"/>
                <w:sz w:val="17"/>
                <w:szCs w:val="17"/>
              </w:rPr>
              <w:t xml:space="preserve">Illustrative members</w:t>
            </w:r>
          </w:p>
        </w:tc>
      </w:tr>
      <w:tr>
        <w:tc>
          <w:tcPr>
            <w:tcW w:type="dxa" w:w="2600"/>
            <w:shd w:fill="FFFFFF" w:val="clear"/>
            <w:tcMar>
              <w:top w:type="dxa" w:w="52"/>
              <w:left w:type="dxa" w:w="80"/>
              <w:bottom w:type="dxa" w:w="52"/>
              <w:right w:type="dxa" w:w="80"/>
            </w:tcMar>
          </w:tcPr>
          <w:p>
            <w:pPr>
              <w:spacing w:after="0" w:line="244"/>
              <w:jc w:val="left"/>
            </w:pPr>
            <w:r>
              <w:rPr>
                <w:b w:val="false"/>
                <w:bCs w:val="false"/>
                <w:sz w:val="17"/>
                <w:szCs w:val="17"/>
              </w:rPr>
              <w:t xml:space="preserve">Advanced</w:t>
            </w:r>
          </w:p>
        </w:tc>
        <w:tc>
          <w:tcPr>
            <w:tcW w:type="dxa" w:w="2100"/>
            <w:shd w:fill="FFFFFF" w:val="clear"/>
            <w:tcMar>
              <w:top w:type="dxa" w:w="52"/>
              <w:left w:type="dxa" w:w="80"/>
              <w:bottom w:type="dxa" w:w="52"/>
              <w:right w:type="dxa" w:w="80"/>
            </w:tcMar>
          </w:tcPr>
          <w:p>
            <w:pPr>
              <w:spacing w:after="0" w:line="244"/>
              <w:jc w:val="left"/>
            </w:pPr>
            <w:r>
              <w:rPr>
                <w:b w:val="false"/>
                <w:bCs w:val="false"/>
                <w:sz w:val="17"/>
                <w:szCs w:val="17"/>
              </w:rPr>
              <w:t xml:space="preserve">61–80%</w:t>
            </w:r>
          </w:p>
        </w:tc>
        <w:tc>
          <w:tcPr>
            <w:tcW w:type="dxa" w:w="2100"/>
            <w:shd w:fill="FFFFFF" w:val="clear"/>
            <w:tcMar>
              <w:top w:type="dxa" w:w="52"/>
              <w:left w:type="dxa" w:w="80"/>
              <w:bottom w:type="dxa" w:w="52"/>
              <w:right w:type="dxa" w:w="80"/>
            </w:tcMar>
          </w:tcPr>
          <w:p>
            <w:pPr>
              <w:spacing w:after="0" w:line="244"/>
              <w:jc w:val="left"/>
            </w:pPr>
            <w:r>
              <w:rPr>
                <w:b w:val="false"/>
                <w:bCs w:val="false"/>
                <w:sz w:val="17"/>
                <w:szCs w:val="17"/>
              </w:rPr>
              <w:t xml:space="preserve">15</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Tanzania, Rwanda, Burkina Faso, Nigeria</w:t>
            </w:r>
          </w:p>
        </w:tc>
      </w:tr>
      <w:tr>
        <w:tc>
          <w:tcPr>
            <w:tcW w:type="dxa" w:w="2600"/>
            <w:shd w:fill="EEF2F6" w:val="clear"/>
            <w:tcMar>
              <w:top w:type="dxa" w:w="52"/>
              <w:left w:type="dxa" w:w="80"/>
              <w:bottom w:type="dxa" w:w="52"/>
              <w:right w:type="dxa" w:w="80"/>
            </w:tcMar>
          </w:tcPr>
          <w:p>
            <w:pPr>
              <w:spacing w:after="0" w:line="244"/>
              <w:jc w:val="left"/>
            </w:pPr>
            <w:r>
              <w:rPr>
                <w:b w:val="false"/>
                <w:bCs w:val="false"/>
                <w:sz w:val="17"/>
                <w:szCs w:val="17"/>
              </w:rPr>
              <w:t xml:space="preserve">Early</w:t>
            </w:r>
          </w:p>
        </w:tc>
        <w:tc>
          <w:tcPr>
            <w:tcW w:type="dxa" w:w="2100"/>
            <w:shd w:fill="EEF2F6" w:val="clear"/>
            <w:tcMar>
              <w:top w:type="dxa" w:w="52"/>
              <w:left w:type="dxa" w:w="80"/>
              <w:bottom w:type="dxa" w:w="52"/>
              <w:right w:type="dxa" w:w="80"/>
            </w:tcMar>
          </w:tcPr>
          <w:p>
            <w:pPr>
              <w:spacing w:after="0" w:line="244"/>
              <w:jc w:val="left"/>
            </w:pPr>
            <w:r>
              <w:rPr>
                <w:b w:val="false"/>
                <w:bCs w:val="false"/>
                <w:sz w:val="17"/>
                <w:szCs w:val="17"/>
              </w:rPr>
              <w:t xml:space="preserve">41–60%</w:t>
            </w:r>
          </w:p>
        </w:tc>
        <w:tc>
          <w:tcPr>
            <w:tcW w:type="dxa" w:w="2100"/>
            <w:shd w:fill="EEF2F6" w:val="clear"/>
            <w:tcMar>
              <w:top w:type="dxa" w:w="52"/>
              <w:left w:type="dxa" w:w="80"/>
              <w:bottom w:type="dxa" w:w="52"/>
              <w:right w:type="dxa" w:w="80"/>
            </w:tcMar>
          </w:tcPr>
          <w:p>
            <w:pPr>
              <w:spacing w:after="0" w:line="244"/>
              <w:jc w:val="left"/>
            </w:pPr>
            <w:r>
              <w:rPr>
                <w:b w:val="false"/>
                <w:bCs w:val="false"/>
                <w:sz w:val="17"/>
                <w:szCs w:val="17"/>
              </w:rPr>
              <w:t xml:space="preserve">20</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Kenya, South Africa, Ghana, Zambia</w:t>
            </w:r>
          </w:p>
        </w:tc>
      </w:tr>
      <w:tr>
        <w:tc>
          <w:tcPr>
            <w:tcW w:type="dxa" w:w="2600"/>
            <w:shd w:fill="FFFFFF" w:val="clear"/>
            <w:tcMar>
              <w:top w:type="dxa" w:w="52"/>
              <w:left w:type="dxa" w:w="80"/>
              <w:bottom w:type="dxa" w:w="52"/>
              <w:right w:type="dxa" w:w="80"/>
            </w:tcMar>
          </w:tcPr>
          <w:p>
            <w:pPr>
              <w:spacing w:after="0" w:line="244"/>
              <w:jc w:val="left"/>
            </w:pPr>
            <w:r>
              <w:rPr>
                <w:b w:val="false"/>
                <w:bCs w:val="false"/>
                <w:sz w:val="17"/>
                <w:szCs w:val="17"/>
              </w:rPr>
              <w:t xml:space="preserve">Emerging</w:t>
            </w:r>
          </w:p>
        </w:tc>
        <w:tc>
          <w:tcPr>
            <w:tcW w:type="dxa" w:w="2100"/>
            <w:shd w:fill="FFFFFF" w:val="clear"/>
            <w:tcMar>
              <w:top w:type="dxa" w:w="52"/>
              <w:left w:type="dxa" w:w="80"/>
              <w:bottom w:type="dxa" w:w="52"/>
              <w:right w:type="dxa" w:w="80"/>
            </w:tcMar>
          </w:tcPr>
          <w:p>
            <w:pPr>
              <w:spacing w:after="0" w:line="244"/>
              <w:jc w:val="left"/>
            </w:pPr>
            <w:r>
              <w:rPr>
                <w:b w:val="false"/>
                <w:bCs w:val="false"/>
                <w:sz w:val="17"/>
                <w:szCs w:val="17"/>
              </w:rPr>
              <w:t xml:space="preserve">21–40%</w:t>
            </w:r>
          </w:p>
        </w:tc>
        <w:tc>
          <w:tcPr>
            <w:tcW w:type="dxa" w:w="2100"/>
            <w:shd w:fill="FFFFFF" w:val="clear"/>
            <w:tcMar>
              <w:top w:type="dxa" w:w="52"/>
              <w:left w:type="dxa" w:w="80"/>
              <w:bottom w:type="dxa" w:w="52"/>
              <w:right w:type="dxa" w:w="80"/>
            </w:tcMar>
          </w:tcPr>
          <w:p>
            <w:pPr>
              <w:spacing w:after="0" w:line="244"/>
              <w:jc w:val="left"/>
            </w:pPr>
            <w:r>
              <w:rPr>
                <w:b w:val="false"/>
                <w:bCs w:val="false"/>
                <w:sz w:val="17"/>
                <w:szCs w:val="17"/>
              </w:rPr>
              <w:t xml:space="preserve">3</w:t>
            </w:r>
          </w:p>
        </w:tc>
        <w:tc>
          <w:tcPr>
            <w:tcW w:type="dxa" w:w="2560"/>
            <w:shd w:fill="FFFFFF" w:val="clear"/>
            <w:tcMar>
              <w:top w:type="dxa" w:w="52"/>
              <w:left w:type="dxa" w:w="80"/>
              <w:bottom w:type="dxa" w:w="52"/>
              <w:right w:type="dxa" w:w="80"/>
            </w:tcMar>
          </w:tcPr>
          <w:p>
            <w:pPr>
              <w:spacing w:after="0" w:line="244"/>
              <w:jc w:val="left"/>
            </w:pPr>
            <w:r>
              <w:rPr>
                <w:b w:val="false"/>
                <w:bCs w:val="false"/>
                <w:sz w:val="17"/>
                <w:szCs w:val="17"/>
              </w:rPr>
              <w:t xml:space="preserve">Mauritania, Namibia, South Sudan</w:t>
            </w:r>
          </w:p>
        </w:tc>
      </w:tr>
      <w:tr>
        <w:tc>
          <w:tcPr>
            <w:tcW w:type="dxa" w:w="2600"/>
            <w:shd w:fill="EEF2F6" w:val="clear"/>
            <w:tcMar>
              <w:top w:type="dxa" w:w="52"/>
              <w:left w:type="dxa" w:w="80"/>
              <w:bottom w:type="dxa" w:w="52"/>
              <w:right w:type="dxa" w:w="80"/>
            </w:tcMar>
          </w:tcPr>
          <w:p>
            <w:pPr>
              <w:spacing w:after="0" w:line="244"/>
              <w:jc w:val="left"/>
            </w:pPr>
            <w:r>
              <w:rPr>
                <w:b w:val="false"/>
                <w:bCs w:val="false"/>
                <w:sz w:val="17"/>
                <w:szCs w:val="17"/>
              </w:rPr>
              <w:t xml:space="preserve">Nascent / Optimized</w:t>
            </w:r>
          </w:p>
        </w:tc>
        <w:tc>
          <w:tcPr>
            <w:tcW w:type="dxa" w:w="2100"/>
            <w:shd w:fill="EEF2F6" w:val="clear"/>
            <w:tcMar>
              <w:top w:type="dxa" w:w="52"/>
              <w:left w:type="dxa" w:w="80"/>
              <w:bottom w:type="dxa" w:w="52"/>
              <w:right w:type="dxa" w:w="80"/>
            </w:tcMar>
          </w:tcPr>
          <w:p>
            <w:pPr>
              <w:spacing w:after="0" w:line="244"/>
              <w:jc w:val="left"/>
            </w:pPr>
            <w:r>
              <w:rPr>
                <w:b w:val="false"/>
                <w:bCs w:val="false"/>
                <w:sz w:val="17"/>
                <w:szCs w:val="17"/>
              </w:rPr>
              <w:t xml:space="preserve">≤20% / &gt;80%</w:t>
            </w:r>
          </w:p>
        </w:tc>
        <w:tc>
          <w:tcPr>
            <w:tcW w:type="dxa" w:w="2100"/>
            <w:shd w:fill="EEF2F6" w:val="clear"/>
            <w:tcMar>
              <w:top w:type="dxa" w:w="52"/>
              <w:left w:type="dxa" w:w="80"/>
              <w:bottom w:type="dxa" w:w="52"/>
              <w:right w:type="dxa" w:w="80"/>
            </w:tcMar>
          </w:tcPr>
          <w:p>
            <w:pPr>
              <w:spacing w:after="0" w:line="244"/>
              <w:jc w:val="left"/>
            </w:pPr>
            <w:r>
              <w:rPr>
                <w:b w:val="false"/>
                <w:bCs w:val="false"/>
                <w:sz w:val="17"/>
                <w:szCs w:val="17"/>
              </w:rPr>
              <w:t xml:space="preserve">0</w:t>
            </w:r>
          </w:p>
        </w:tc>
        <w:tc>
          <w:tcPr>
            <w:tcW w:type="dxa" w:w="2560"/>
            <w:shd w:fill="EEF2F6" w:val="clear"/>
            <w:tcMar>
              <w:top w:type="dxa" w:w="52"/>
              <w:left w:type="dxa" w:w="80"/>
              <w:bottom w:type="dxa" w:w="52"/>
              <w:right w:type="dxa" w:w="80"/>
            </w:tcMar>
          </w:tcPr>
          <w:p>
            <w:pPr>
              <w:spacing w:after="0" w:line="244"/>
              <w:jc w:val="left"/>
            </w:pPr>
            <w:r>
              <w:rPr>
                <w:b w:val="false"/>
                <w:bCs w:val="false"/>
                <w:sz w:val="17"/>
                <w:szCs w:val="17"/>
              </w:rPr>
              <w:t xml:space="preserve">—</w:t>
            </w:r>
          </w:p>
        </w:tc>
      </w:tr>
    </w:tbl>
    <w:p>
      <w:pPr>
        <w:spacing w:after="60" w:line="276"/>
        <w:jc w:val="both"/>
      </w:pPr>
      <w:r>
        <w:rPr>
          <w:b w:val="false"/>
          <w:bCs w:val="false"/>
          <w:i w:val="false"/>
          <w:iCs w:val="false"/>
        </w:rPr>
        <w:t xml:space="preserve">The mined maturity index enters every domain network as a system-layer determinant of data reliability and supply-chain performance, so a digital-transformation scenario that raises HIS maturity propagates to better ART, immunisation and commodity coverage across domains.</w:t>
      </w:r>
    </w:p>
    <w:p>
      <w:r>
        <w:br w:type="page"/>
      </w:r>
    </w:p>
    <w:p>
      <w:pPr>
        <w:pStyle w:val="Heading1"/>
      </w:pPr>
      <w:r>
        <w:rPr>
          <w:b/>
          <w:bCs/>
          <w:color w:val="0B132B"/>
        </w:rPr>
        <w:t xml:space="preserve">5. Domain Bayesian networks</w:t>
      </w:r>
    </w:p>
    <w:p>
      <w:pPr>
        <w:spacing w:after="120" w:line="276"/>
        <w:jc w:val="both"/>
      </w:pPr>
      <w:r>
        <w:rPr>
          <w:b w:val="false"/>
          <w:bCs w:val="false"/>
          <w:i w:val="false"/>
          <w:iCs w:val="false"/>
        </w:rPr>
        <w:t xml:space="preserve">Each domain specialises the hierarchy of Section 2 using its catalogued predictors. For every domain we give the outcome node and link, the predictor layers, one governing structural equation, and the key modelling assumptions. The general machinery of Sections 3–4 (priors, inference, do-operator, Monte-Carlo propagation) applies throughout and is not repeated.</w:t>
      </w:r>
    </w:p>
    <w:p>
      <w:pPr>
        <w:pStyle w:val="Heading2"/>
        <w:spacing w:after="80" w:before="220"/>
      </w:pPr>
      <w:r>
        <w:rPr>
          <w:b/>
          <w:bCs/>
          <w:color w:val="1C2541"/>
        </w:rPr>
        <w:t xml:space="preserve">5.1 HIV</w:t>
      </w:r>
    </w:p>
    <w:p>
      <w:pPr>
        <w:spacing w:after="70" w:line="270"/>
      </w:pPr>
      <w:r>
        <w:rPr>
          <w:b/>
          <w:bCs/>
          <w:color w:val="1C7C74"/>
        </w:rPr>
        <w:t xml:space="preserve">Outcome node. </w:t>
      </w:r>
      <w:r>
        <w:rPr>
          <w:sz w:val="20"/>
          <w:szCs w:val="20"/>
        </w:rPr>
        <w:t xml:space="preserve">HIV incidence (rate, log link); secondary nodes: AIDS mortality, ART coverage, viral suppression, mother-to-child transmission.</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ART coverage (+), viral suppression (+), condom use (+), PMTCT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HIV testing (+), viral-load testing (+), workforce &amp; CHW density (+), laboratory capacity (+), supply chain (+), stockouts (−), HIS maturity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Disease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TB incidence (+risk), STI prevalence (+risk), hepatitis</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female literacy (−), income (−), urbanisation, migration (+), gender inequality (+), youth unemployment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Governance/Infra</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health expenditure (−), reporting completeness (−), digital maturity (−), internet &amp; facility density (−), travel time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conflict, COVID-type epidemic, floods, drug stockouts, refugee influx</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E[incidence] = log(inc⁰) − β₁(VLS − VLS⁰) − β₂(condom − condom⁰) + β₃(STI − STI⁰)</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logit E[VLS] = logit(VLS⁰) + γ₁(ART − ART⁰) + γ₂(supply − supply⁰)</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Treatment-as-prevention: viral suppression is the dominant proximate protector (U=U evidence).</w:t>
      </w:r>
    </w:p>
    <w:p>
      <w:pPr>
        <w:pStyle w:val="ListParagraph"/>
        <w:numPr>
          <w:ilvl w:val="0"/>
          <w:numId w:val="2"/>
        </w:numPr>
        <w:spacing w:after="60" w:line="264"/>
      </w:pPr>
      <w:r>
        <w:t xml:space="preserve">ART coverage is itself driven by testing and supply chain, so digital/supply investments act indirectly on incidence.</w:t>
      </w:r>
    </w:p>
    <w:p>
      <w:pPr>
        <w:pStyle w:val="ListParagraph"/>
        <w:numPr>
          <w:ilvl w:val="0"/>
          <w:numId w:val="2"/>
        </w:numPr>
        <w:spacing w:after="60" w:line="264"/>
      </w:pPr>
      <w:r>
        <w:t xml:space="preserve">Ecological, single-period; not a full dynamic transmission model — falling incidence does not yet reduce the future infectious pool within one run.</w:t>
      </w:r>
    </w:p>
    <w:p>
      <w:pPr>
        <w:pStyle w:val="Heading2"/>
        <w:spacing w:after="80" w:before="220"/>
      </w:pPr>
      <w:r>
        <w:rPr>
          <w:b/>
          <w:bCs/>
          <w:color w:val="1C2541"/>
        </w:rPr>
        <w:t xml:space="preserve">5.2 Maternal mortality</w:t>
      </w:r>
    </w:p>
    <w:p>
      <w:pPr>
        <w:spacing w:after="70" w:line="270"/>
      </w:pPr>
      <w:r>
        <w:rPr>
          <w:b/>
          <w:bCs/>
          <w:color w:val="1C7C74"/>
        </w:rPr>
        <w:t xml:space="preserve">Outcome node. </w:t>
      </w:r>
      <w:r>
        <w:rPr>
          <w:sz w:val="20"/>
          <w:szCs w:val="20"/>
        </w:rPr>
        <w:t xml:space="preserve">Maternal mortality ratio (rate, log link).</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skilled birth attendance (+), emergency obstetric care (+), caesarean rate (+), facility delivery (+), blood availability (+), referral efficiency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Reproductive</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ANC4/ANC8 (+), contraceptive prevalence (+), birth spacing (+), adolescent fertility (+risk)</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midwife &amp; workforce density (+), maternal death reviews (+), government expenditure (+), reporting completeness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female education (−), poverty (+), fertility (+), gender inequality (+), rural population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Disease/Infra</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anaemia (+), HIV (+), malaria (+), hypertension, diabetes; road access (−), travel time (+), ambulances (−), facility density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conflict, floods, drug shortages, workforce strikes</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E[MMR] = log(MMR⁰) − β₁(SBA − SBA⁰) − β₂(EmOC − EmOC⁰) − β₃(ANC − ANC⁰) + β₄(anaemia − anaemia⁰)</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Three-delays framework: intermediate obstetric-care nodes carry the largest coefficients.</w:t>
      </w:r>
    </w:p>
    <w:p>
      <w:pPr>
        <w:pStyle w:val="ListParagraph"/>
        <w:numPr>
          <w:ilvl w:val="0"/>
          <w:numId w:val="2"/>
        </w:numPr>
        <w:spacing w:after="60" w:line="264"/>
      </w:pPr>
      <w:r>
        <w:t xml:space="preserve">Family planning acts through fertility and adolescent fertility, linking to the SRHR and child-survival networks.</w:t>
      </w:r>
    </w:p>
    <w:p>
      <w:pPr>
        <w:pStyle w:val="ListParagraph"/>
        <w:numPr>
          <w:ilvl w:val="0"/>
          <w:numId w:val="2"/>
        </w:numPr>
        <w:spacing w:after="60" w:line="264"/>
      </w:pPr>
      <w:r>
        <w:t xml:space="preserve">Shocks degrade referral and supply nodes rather than acting on MMR directly.</w:t>
      </w:r>
    </w:p>
    <w:p>
      <w:pPr>
        <w:pStyle w:val="Heading2"/>
        <w:spacing w:after="80" w:before="220"/>
      </w:pPr>
      <w:r>
        <w:rPr>
          <w:b/>
          <w:bCs/>
          <w:color w:val="1C2541"/>
        </w:rPr>
        <w:t xml:space="preserve">5.3 Neonatal mortality</w:t>
      </w:r>
    </w:p>
    <w:p>
      <w:pPr>
        <w:spacing w:after="70" w:line="270"/>
      </w:pPr>
      <w:r>
        <w:rPr>
          <w:b/>
          <w:bCs/>
          <w:color w:val="1C7C74"/>
        </w:rPr>
        <w:t xml:space="preserve">Outcome node. </w:t>
      </w:r>
      <w:r>
        <w:rPr>
          <w:sz w:val="20"/>
          <w:szCs w:val="20"/>
        </w:rPr>
        <w:t xml:space="preserve">Neonatal mortality rate (rate, log link).</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skilled attendance (+), facility delivery (+), EmONC (+), newborn resuscitation (+), kangaroo mother care (+), ANC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Clinical/biological</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maternal age (risk at extremes), prematurity (+risk), low birth weight (+risk), caesarean availability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referral efficiency (+), electricity (+), oxygen availability (+), blood availability (+), digital surveillance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conflict, floods, supply disruption</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E[NMR] = log(NMR⁰) − β₁(resuscitation − ·⁰) − β₂(KMC − ·⁰) − β₃(SBA − ·⁰) + β₄(LBW − ·⁰)</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Cause structure (prematurity, intrapartum-related, sepsis) is represented through the intervention coefficients (cause-deletion logic).</w:t>
      </w:r>
    </w:p>
    <w:p>
      <w:pPr>
        <w:pStyle w:val="ListParagraph"/>
        <w:numPr>
          <w:ilvl w:val="0"/>
          <w:numId w:val="2"/>
        </w:numPr>
        <w:spacing w:after="60" w:line="264"/>
      </w:pPr>
      <w:r>
        <w:t xml:space="preserve">Oxygen, electricity and referral are enabling nodes without which clinical interventions cannot act.</w:t>
      </w:r>
    </w:p>
    <w:p>
      <w:pPr>
        <w:pStyle w:val="ListParagraph"/>
        <w:numPr>
          <w:ilvl w:val="0"/>
          <w:numId w:val="2"/>
        </w:numPr>
        <w:spacing w:after="60" w:line="264"/>
      </w:pPr>
      <w:r>
        <w:t xml:space="preserve">Anchored to observed NMR; combination effects are multiplicative on the log scale.</w:t>
      </w:r>
    </w:p>
    <w:p>
      <w:pPr>
        <w:pStyle w:val="Heading2"/>
        <w:spacing w:after="80" w:before="220"/>
      </w:pPr>
      <w:r>
        <w:rPr>
          <w:b/>
          <w:bCs/>
          <w:color w:val="1C2541"/>
        </w:rPr>
        <w:t xml:space="preserve">5.4 Child mortality (1–59 months)</w:t>
      </w:r>
    </w:p>
    <w:p>
      <w:pPr>
        <w:spacing w:after="70" w:line="270"/>
      </w:pPr>
      <w:r>
        <w:rPr>
          <w:b/>
          <w:bCs/>
          <w:color w:val="1C7C74"/>
        </w:rPr>
        <w:t xml:space="preserve">Outcome node. </w:t>
      </w:r>
      <w:r>
        <w:rPr>
          <w:sz w:val="20"/>
          <w:szCs w:val="20"/>
        </w:rPr>
        <w:t xml:space="preserve">Child (1–59 month) mortality (rate, log link).</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immunisation (+), ORS/zinc for diarrhoea (+), pneumonia care-seeking (+), malaria treatment (+), vitamin A (+), breastfeeding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facility readiness (+), community health workers (+), travel time (+risk)</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Environment</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water (+), sanitation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maternal education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Disease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malaria (+), pneumonia (+), diarrhoea (+)</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E[CMR] = log(CMR⁰) − ∑ₖ βₖ (coverageₖ − coverageₖ⁰)</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Leading causes (pneumonia, diarrhoea, malaria, undernutrition) are each addressed by their intervention nodes.</w:t>
      </w:r>
    </w:p>
    <w:p>
      <w:pPr>
        <w:pStyle w:val="ListParagraph"/>
        <w:numPr>
          <w:ilvl w:val="0"/>
          <w:numId w:val="2"/>
        </w:numPr>
        <w:spacing w:after="60" w:line="264"/>
      </w:pPr>
      <w:r>
        <w:t xml:space="preserve">Water and sanitation act as structural modifiers of diarrhoeal risk.</w:t>
      </w:r>
    </w:p>
    <w:p>
      <w:pPr>
        <w:pStyle w:val="ListParagraph"/>
        <w:numPr>
          <w:ilvl w:val="0"/>
          <w:numId w:val="2"/>
        </w:numPr>
        <w:spacing w:after="60" w:line="264"/>
      </w:pPr>
      <w:r>
        <w:t xml:space="preserve">Maternal education is a distal protective determinant acting through care-seeking.</w:t>
      </w:r>
    </w:p>
    <w:p>
      <w:pPr>
        <w:pStyle w:val="Heading2"/>
        <w:spacing w:after="80" w:before="220"/>
      </w:pPr>
      <w:r>
        <w:rPr>
          <w:b/>
          <w:bCs/>
          <w:color w:val="1C2541"/>
        </w:rPr>
        <w:t xml:space="preserve">5.5 Under-five mortality</w:t>
      </w:r>
    </w:p>
    <w:p>
      <w:pPr>
        <w:spacing w:after="70" w:line="270"/>
      </w:pPr>
      <w:r>
        <w:rPr>
          <w:b/>
          <w:bCs/>
          <w:color w:val="1C7C74"/>
        </w:rPr>
        <w:t xml:space="preserve">Outcome node. </w:t>
      </w:r>
      <w:r>
        <w:rPr>
          <w:sz w:val="20"/>
          <w:szCs w:val="20"/>
        </w:rPr>
        <w:t xml:space="preserve">Under-five mortality rate (rate, log link); integrating node.</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Parents (outcomes)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neonatal mortality, child (1–59 mo) mortality</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health-system readiness, immunisation, nutrition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Disease/Socioeconomic</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disease burden, household poverty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conflict</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U5MR = NMR + PNMR   (per 1,000 live births),   with NMR, PNMR from their own networks</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Segment-combined: under-five survival is the product of neonatal and post-neonatal survival, so U5MR decomposes additively per 1,000 live births.</w:t>
      </w:r>
    </w:p>
    <w:p>
      <w:pPr>
        <w:pStyle w:val="ListParagraph"/>
        <w:numPr>
          <w:ilvl w:val="0"/>
          <w:numId w:val="2"/>
        </w:numPr>
        <w:spacing w:after="60" w:line="264"/>
      </w:pPr>
      <w:r>
        <w:t xml:space="preserve">Inherits all assumptions of the neonatal and child networks; links to maternal and SRHR through shared parents.</w:t>
      </w:r>
    </w:p>
    <w:p>
      <w:pPr>
        <w:pStyle w:val="Heading2"/>
        <w:spacing w:after="80" w:before="220"/>
      </w:pPr>
      <w:r>
        <w:rPr>
          <w:b/>
          <w:bCs/>
          <w:color w:val="1C2541"/>
        </w:rPr>
        <w:t xml:space="preserve">5.6 Universal Health Coverage</w:t>
      </w:r>
    </w:p>
    <w:p>
      <w:pPr>
        <w:spacing w:after="70" w:line="270"/>
      </w:pPr>
      <w:r>
        <w:rPr>
          <w:b/>
          <w:bCs/>
          <w:color w:val="1C7C74"/>
        </w:rPr>
        <w:t xml:space="preserve">Outcome node. </w:t>
      </w:r>
      <w:r>
        <w:rPr>
          <w:sz w:val="20"/>
          <w:szCs w:val="20"/>
        </w:rPr>
        <w:t xml:space="preserve">Service coverage index; financial protection; effective coverage; equity; quality-adjusted UHC (probability / index nodes, logit or identity).</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Service coverage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RMNCH, immunisation, HIV/TB, NCD service coverage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Readiness/Workforce</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general &amp; service-specific readiness (+), core &amp; community workforce density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Financing</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prepaid coverage (+), out-of-pocket share (−), government health expenditure (+), donor dependency (+risk)</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Medicines/Digital</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essential-medicine availability (+), stockouts (−), EMR adoption (+), HIS &amp; digital maturity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Governance/Population</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strategy &amp; policy implementation (+), decentralisation, accountability (+); poverty (−), education (+), vulnerable populations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epidemics, conflict, climate</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logit E[SCI] = logit(SCI⁰) + β₁(financing − ·⁰) + β₂(readiness − ·⁰) + β₃(workforce − ·⁰)</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P(catastrophic) rises with out-of-pocket share and falls with prepayment and coverage</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Financing has diminishing returns (concavity on the logit scale).</w:t>
      </w:r>
    </w:p>
    <w:p>
      <w:pPr>
        <w:pStyle w:val="ListParagraph"/>
        <w:numPr>
          <w:ilvl w:val="0"/>
          <w:numId w:val="2"/>
        </w:numPr>
        <w:spacing w:after="60" w:line="264"/>
      </w:pPr>
      <w:r>
        <w:t xml:space="preserve">The service coverage index behaves as a geometric mean of tracer sub-indices.</w:t>
      </w:r>
    </w:p>
    <w:p>
      <w:pPr>
        <w:pStyle w:val="ListParagraph"/>
        <w:numPr>
          <w:ilvl w:val="0"/>
          <w:numId w:val="2"/>
        </w:numPr>
        <w:spacing w:after="60" w:line="264"/>
      </w:pPr>
      <w:r>
        <w:t xml:space="preserve">Financial protection is modelled as a separate outcome node from service coverage.</w:t>
      </w:r>
    </w:p>
    <w:p>
      <w:pPr>
        <w:pStyle w:val="Heading2"/>
        <w:spacing w:after="80" w:before="220"/>
      </w:pPr>
      <w:r>
        <w:rPr>
          <w:b/>
          <w:bCs/>
          <w:color w:val="1C2541"/>
        </w:rPr>
        <w:t xml:space="preserve">5.7 Tuberculosis</w:t>
      </w:r>
    </w:p>
    <w:p>
      <w:pPr>
        <w:spacing w:after="70" w:line="270"/>
      </w:pPr>
      <w:r>
        <w:rPr>
          <w:b/>
          <w:bCs/>
          <w:color w:val="1C7C74"/>
        </w:rPr>
        <w:t xml:space="preserve">Outcome node. </w:t>
      </w:r>
      <w:r>
        <w:rPr>
          <w:sz w:val="20"/>
          <w:szCs w:val="20"/>
        </w:rPr>
        <w:t xml:space="preserve">TB incidence and mortality (rate, log link); treatment success (probability).</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case detection / GeneXpert access (+), treatment success (+), contact tracing (+), preventive therapy (+), digital adherence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laboratory network (+), drug availability (+), community screening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Disease/Risk</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HIV prevalence (+), ART coverage (−), undernutrition (+), smoking (+), diabetes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poverty (+), overcrowding (+)</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E[TB inc] ≈ log(inc⁰) − β₁(detection·success − ·⁰) − β₂(TPT − ·⁰) + β₃(HIV − ·⁰)</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Find–treat–cure cascade: detection times treatment success shortens the infectious period (Styblo logic).</w:t>
      </w:r>
    </w:p>
    <w:p>
      <w:pPr>
        <w:pStyle w:val="ListParagraph"/>
        <w:numPr>
          <w:ilvl w:val="0"/>
          <w:numId w:val="2"/>
        </w:numPr>
        <w:spacing w:after="60" w:line="264"/>
      </w:pPr>
      <w:r>
        <w:t xml:space="preserve">HIV co-infection is a major amplifier in the Region; ART coverage enters protectively.</w:t>
      </w:r>
    </w:p>
    <w:p>
      <w:pPr>
        <w:pStyle w:val="ListParagraph"/>
        <w:numPr>
          <w:ilvl w:val="0"/>
          <w:numId w:val="2"/>
        </w:numPr>
        <w:spacing w:after="60" w:line="264"/>
      </w:pPr>
      <w:r>
        <w:t xml:space="preserve">Undernutrition and crowding are structural risk parents.</w:t>
      </w:r>
    </w:p>
    <w:p>
      <w:pPr>
        <w:pStyle w:val="Heading2"/>
        <w:spacing w:after="80" w:before="220"/>
      </w:pPr>
      <w:r>
        <w:rPr>
          <w:b/>
          <w:bCs/>
          <w:color w:val="1C2541"/>
        </w:rPr>
        <w:t xml:space="preserve">5.8 Malaria</w:t>
      </w:r>
    </w:p>
    <w:p>
      <w:pPr>
        <w:spacing w:after="70" w:line="270"/>
      </w:pPr>
      <w:r>
        <w:rPr>
          <w:b/>
          <w:bCs/>
          <w:color w:val="1C7C74"/>
        </w:rPr>
        <w:t xml:space="preserve">Outcome node. </w:t>
      </w:r>
      <w:r>
        <w:rPr>
          <w:sz w:val="20"/>
          <w:szCs w:val="20"/>
        </w:rPr>
        <w:t xml:space="preserve">Malaria incidence and mortality (rate, log link).</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ITN coverage (+), IRS (+), ACT availability (+), rapid diagnostic tests (+), chemoprevention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surveillance (+), supply chains (+), community health workers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Environment</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rainfall (+risk), temperature (+risk), floods (+risk), housing quality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Socioeconomic/Infra</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travel time (+risk)</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 E[malaria inc] = log(inc⁰) − β₁(ITN − ·⁰) − β₂(IRS − ·⁰) − β₃(chemoprev − ·⁰) + β₄(flood)</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Vector-control interventions combine multiplicatively (reduction of the entomological inoculation rate).</w:t>
      </w:r>
    </w:p>
    <w:p>
      <w:pPr>
        <w:pStyle w:val="ListParagraph"/>
        <w:numPr>
          <w:ilvl w:val="0"/>
          <w:numId w:val="2"/>
        </w:numPr>
        <w:spacing w:after="60" w:line="264"/>
      </w:pPr>
      <w:r>
        <w:t xml:space="preserve">Climate nodes (rainfall, temperature, floods) are shock/environment parents that raise transmission.</w:t>
      </w:r>
    </w:p>
    <w:p>
      <w:pPr>
        <w:pStyle w:val="ListParagraph"/>
        <w:numPr>
          <w:ilvl w:val="0"/>
          <w:numId w:val="2"/>
        </w:numPr>
        <w:spacing w:after="60" w:line="264"/>
      </w:pPr>
      <w:r>
        <w:t xml:space="preserve">Supply chain gates the delivery of nets, diagnostics and ACTs.</w:t>
      </w:r>
    </w:p>
    <w:p>
      <w:pPr>
        <w:pStyle w:val="Heading2"/>
        <w:spacing w:after="80" w:before="220"/>
      </w:pPr>
      <w:r>
        <w:rPr>
          <w:b/>
          <w:bCs/>
          <w:color w:val="1C2541"/>
        </w:rPr>
        <w:t xml:space="preserve">5.9 Non-communicable diseases</w:t>
      </w:r>
    </w:p>
    <w:p>
      <w:pPr>
        <w:spacing w:after="70" w:line="270"/>
      </w:pPr>
      <w:r>
        <w:rPr>
          <w:b/>
          <w:bCs/>
          <w:color w:val="1C7C74"/>
        </w:rPr>
        <w:t xml:space="preserve">Outcome node. </w:t>
      </w:r>
      <w:r>
        <w:rPr>
          <w:sz w:val="20"/>
          <w:szCs w:val="20"/>
        </w:rPr>
        <w:t xml:space="preserve">Probability of premature (30–70) NCD mortality; hypertension and diabetes control; cancer survival (probability / index).</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Risk factors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tobacco (+), harmful alcohol (+), physical inactivity (+), unhealthy diet/salt (+), obesity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Intermediate/Service</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hypertension &amp; diabetes treatment and control (+), screening coverage (+), primary-care readiness (+), medicine availability (+), digital follow-up &amp; telemedicine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urbanisation (+risk), health insurance (+)</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logit E[q(30,70)] = logit(q⁰) + ∑ₖ sₖ βₖ (riskₖ − riskₖ⁰) − γ(HTN control − ·⁰)</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attributable share:  PAF = ∑ pᵢ(RRᵢ−1) / [1 + ∑ pᵢ(RRᵢ−1)]</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Comparative-risk assessment: risk-factor prevalences and relative risks drive attributable mortality.</w:t>
      </w:r>
    </w:p>
    <w:p>
      <w:pPr>
        <w:pStyle w:val="ListParagraph"/>
        <w:numPr>
          <w:ilvl w:val="0"/>
          <w:numId w:val="2"/>
        </w:numPr>
        <w:spacing w:after="60" w:line="264"/>
      </w:pPr>
      <w:r>
        <w:t xml:space="preserve">Treatment-and-control nodes (HEARTS-type) reduce the outcome given risk exposure.</w:t>
      </w:r>
    </w:p>
    <w:p>
      <w:pPr>
        <w:pStyle w:val="ListParagraph"/>
        <w:numPr>
          <w:ilvl w:val="0"/>
          <w:numId w:val="2"/>
        </w:numPr>
        <w:spacing w:after="60" w:line="264"/>
      </w:pPr>
      <w:r>
        <w:t xml:space="preserve">Best-buy interventions map onto the risk-factor nodes.</w:t>
      </w:r>
    </w:p>
    <w:p>
      <w:pPr>
        <w:pStyle w:val="Heading2"/>
        <w:spacing w:after="80" w:before="220"/>
      </w:pPr>
      <w:r>
        <w:rPr>
          <w:b/>
          <w:bCs/>
          <w:color w:val="1C2541"/>
        </w:rPr>
        <w:t xml:space="preserve">5.10 SRHR</w:t>
      </w:r>
    </w:p>
    <w:p>
      <w:pPr>
        <w:spacing w:after="70" w:line="270"/>
      </w:pPr>
      <w:r>
        <w:rPr>
          <w:b/>
          <w:bCs/>
          <w:color w:val="1C7C74"/>
        </w:rPr>
        <w:t xml:space="preserve">Outcome node. </w:t>
      </w:r>
      <w:r>
        <w:rPr>
          <w:sz w:val="20"/>
          <w:szCs w:val="20"/>
        </w:rPr>
        <w:t xml:space="preserve">SRHR coverage index (probability / index, logit link); downstream links to maternal and child survival.</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Intermediate</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family planning / modern contraception (+), ANC (+), facility delivery (+), skilled attendance (+), PMTCT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Service/System</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youth-friendly services (+), GBV services (+), commodity availability (+), health workforce (+), digital SRHR services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Socioeconomic</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adolescent fertility (+risk), education (+), gender inequality (+risk)</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logit E[SRHR index] = logit(idx⁰) + β₁(FP − ·⁰) + β₂(education − ·⁰) − β₃(gender inequality − ·⁰)</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pregnancies averted = Δusers · (1 − failure) → maternal &amp; newborn deaths averted</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Demand-satisfied logic: contraceptive use averts unintended pregnancies and downstream deaths.</w:t>
      </w:r>
    </w:p>
    <w:p>
      <w:pPr>
        <w:pStyle w:val="ListParagraph"/>
        <w:numPr>
          <w:ilvl w:val="0"/>
          <w:numId w:val="2"/>
        </w:numPr>
        <w:spacing w:after="60" w:line="264"/>
      </w:pPr>
      <w:r>
        <w:t xml:space="preserve">SRHR shares parents with the maternal and child networks (integrated effects).</w:t>
      </w:r>
    </w:p>
    <w:p>
      <w:pPr>
        <w:pStyle w:val="ListParagraph"/>
        <w:numPr>
          <w:ilvl w:val="0"/>
          <w:numId w:val="2"/>
        </w:numPr>
        <w:spacing w:after="60" w:line="264"/>
      </w:pPr>
      <w:r>
        <w:t xml:space="preserve">Adolescent fertility and gender inequality are structural risk parents.</w:t>
      </w:r>
    </w:p>
    <w:p>
      <w:pPr>
        <w:pStyle w:val="Heading2"/>
        <w:spacing w:after="80" w:before="220"/>
      </w:pPr>
      <w:r>
        <w:rPr>
          <w:b/>
          <w:bCs/>
          <w:color w:val="1C2541"/>
        </w:rPr>
        <w:t xml:space="preserve">5.11 Routine HIS / HIS maturity</w:t>
      </w:r>
    </w:p>
    <w:p>
      <w:pPr>
        <w:spacing w:after="70" w:line="270"/>
      </w:pPr>
      <w:r>
        <w:rPr>
          <w:b/>
          <w:bCs/>
          <w:color w:val="1C7C74"/>
        </w:rPr>
        <w:t xml:space="preserve">Outcome node. </w:t>
      </w:r>
      <w:r>
        <w:rPr>
          <w:sz w:val="20"/>
          <w:szCs w:val="20"/>
        </w:rPr>
        <w:t xml:space="preserve">HIS maturity index (index / probability, logit link) — mined from the regional assessment (Section 4.2).</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Domains (parents)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governance &amp; leadership (+), data generation &amp; management (+), data analysis &amp; synthesis (+), communication &amp; use (+)</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Governance sub-domains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organisational structure, strategic planning, policy, partner coordination, financing (+), supportive supervision (+)</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Data-generation items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DHIS2 repository &amp; facility entry (+), EMR (+), disaggregated core data (+), master facility list (+), ICD-11 (+)</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HIS maturity = ∑ᵈ wᵈ · domain-scoreᵈ ,   ∑ wᵈ = 1   (six-point items rescaled to 0–100)</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band: nascent ≤20 &lt; emerging ≤40 &lt; early ≤60 &lt; advanced ≤80 &lt; optimized</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Composite maturity model (PRISM-aligned): weighted mean of domain scores from the assessment.</w:t>
      </w:r>
    </w:p>
    <w:p>
      <w:pPr>
        <w:pStyle w:val="ListParagraph"/>
        <w:numPr>
          <w:ilvl w:val="0"/>
          <w:numId w:val="2"/>
        </w:numPr>
        <w:spacing w:after="60" w:line="264"/>
      </w:pPr>
      <w:r>
        <w:t xml:space="preserve">HIS maturity is an upstream determinant of data reliability, supply chain and service coverage in every other network.</w:t>
      </w:r>
    </w:p>
    <w:p>
      <w:pPr>
        <w:pStyle w:val="ListParagraph"/>
        <w:numPr>
          <w:ilvl w:val="0"/>
          <w:numId w:val="2"/>
        </w:numPr>
        <w:spacing w:after="60" w:line="264"/>
      </w:pPr>
      <w:r>
        <w:t xml:space="preserve">Currently populated from the two tabulated domains; the remaining domains fill in as the full assessment dataset is ingested.</w:t>
      </w:r>
    </w:p>
    <w:p>
      <w:pPr>
        <w:pStyle w:val="Heading2"/>
        <w:spacing w:after="80" w:before="220"/>
      </w:pPr>
      <w:r>
        <w:rPr>
          <w:b/>
          <w:bCs/>
          <w:color w:val="1C2541"/>
        </w:rPr>
        <w:t xml:space="preserve">5.12 SDG 3 attainment</w:t>
      </w:r>
    </w:p>
    <w:p>
      <w:pPr>
        <w:spacing w:after="70" w:line="270"/>
      </w:pPr>
      <w:r>
        <w:rPr>
          <w:b/>
          <w:bCs/>
          <w:color w:val="1C7C74"/>
        </w:rPr>
        <w:t xml:space="preserve">Outcome node. </w:t>
      </w:r>
      <w:r>
        <w:rPr>
          <w:sz w:val="20"/>
          <w:szCs w:val="20"/>
        </w:rPr>
        <w:t xml:space="preserve">Probability of achieving SDG 3 targets (probability, logit link) — top-level integrating node.</w:t>
      </w:r>
    </w:p>
    <w:p>
      <w:pPr>
        <w:spacing w:after="40"/>
      </w:pPr>
      <w:r>
        <w:rPr>
          <w:b/>
          <w:bCs/>
          <w:color w:val="1C7C74"/>
          <w:sz w:val="20"/>
          <w:szCs w:val="20"/>
        </w:rPr>
        <w:t xml:space="preserve">Predictor layers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100"/>
        <w:gridCol w:w="7260"/>
      </w:tblGrid>
      <w:tr>
        <w:trPr>
          <w:tblHeader/>
        </w:trPr>
        <w:tc>
          <w:tcPr>
            <w:tcW w:type="dxa" w:w="2100"/>
            <w:shd w:fill="0B132B" w:val="clear"/>
            <w:tcMar>
              <w:top w:type="dxa" w:w="52"/>
              <w:left w:type="dxa" w:w="80"/>
              <w:bottom w:type="dxa" w:w="52"/>
              <w:right w:type="dxa" w:w="80"/>
            </w:tcMar>
          </w:tcPr>
          <w:p>
            <w:pPr>
              <w:spacing w:after="0" w:line="244"/>
              <w:jc w:val="left"/>
            </w:pPr>
            <w:r>
              <w:rPr>
                <w:b/>
                <w:bCs/>
                <w:color w:val="FFFFFF"/>
                <w:sz w:val="16"/>
                <w:szCs w:val="16"/>
              </w:rPr>
              <w:t xml:space="preserve">Layer</w:t>
            </w:r>
          </w:p>
        </w:tc>
        <w:tc>
          <w:tcPr>
            <w:tcW w:type="dxa" w:w="7260"/>
            <w:shd w:fill="0B132B" w:val="clear"/>
            <w:tcMar>
              <w:top w:type="dxa" w:w="52"/>
              <w:left w:type="dxa" w:w="80"/>
              <w:bottom w:type="dxa" w:w="52"/>
              <w:right w:type="dxa" w:w="80"/>
            </w:tcMar>
          </w:tcPr>
          <w:p>
            <w:pPr>
              <w:spacing w:after="0" w:line="244"/>
              <w:jc w:val="left"/>
            </w:pPr>
            <w:r>
              <w:rPr>
                <w:b/>
                <w:bCs/>
                <w:color w:val="FFFFFF"/>
                <w:sz w:val="16"/>
                <w:szCs w:val="16"/>
              </w:rPr>
              <w:t xml:space="preserve">Predictors (structural sign)</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Parent outcomes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maternal, neonatal and child mortality; HIV, TB, malaria; NCD mortality; UHC; financial protection</w:t>
            </w:r>
          </w:p>
        </w:tc>
      </w:tr>
      <w:tr>
        <w:tc>
          <w:tcPr>
            <w:tcW w:type="dxa" w:w="2100"/>
            <w:shd w:fill="EEF2F6" w:val="clear"/>
            <w:tcMar>
              <w:top w:type="dxa" w:w="52"/>
              <w:left w:type="dxa" w:w="80"/>
              <w:bottom w:type="dxa" w:w="52"/>
              <w:right w:type="dxa" w:w="80"/>
            </w:tcMar>
          </w:tcPr>
          <w:p>
            <w:pPr>
              <w:spacing w:after="0" w:line="244"/>
              <w:jc w:val="left"/>
            </w:pPr>
            <w:r>
              <w:rPr>
                <w:b w:val="false"/>
                <w:bCs w:val="false"/>
                <w:sz w:val="16"/>
                <w:szCs w:val="16"/>
              </w:rPr>
              <w:t xml:space="preserve">Enablers</w:t>
            </w:r>
          </w:p>
        </w:tc>
        <w:tc>
          <w:tcPr>
            <w:tcW w:type="dxa" w:w="7260"/>
            <w:shd w:fill="EEF2F6" w:val="clear"/>
            <w:tcMar>
              <w:top w:type="dxa" w:w="52"/>
              <w:left w:type="dxa" w:w="80"/>
              <w:bottom w:type="dxa" w:w="52"/>
              <w:right w:type="dxa" w:w="80"/>
            </w:tcMar>
          </w:tcPr>
          <w:p>
            <w:pPr>
              <w:spacing w:after="0" w:line="244"/>
              <w:jc w:val="left"/>
            </w:pPr>
            <w:r>
              <w:rPr>
                <w:b w:val="false"/>
                <w:bCs w:val="false"/>
                <w:sz w:val="16"/>
                <w:szCs w:val="16"/>
              </w:rPr>
              <w:t xml:space="preserve">health expenditure, digital health, HIS/RHIS, governance</w:t>
            </w:r>
          </w:p>
        </w:tc>
      </w:tr>
      <w:tr>
        <w:tc>
          <w:tcPr>
            <w:tcW w:type="dxa" w:w="2100"/>
            <w:shd w:fill="FFFFFF" w:val="clear"/>
            <w:tcMar>
              <w:top w:type="dxa" w:w="52"/>
              <w:left w:type="dxa" w:w="80"/>
              <w:bottom w:type="dxa" w:w="52"/>
              <w:right w:type="dxa" w:w="80"/>
            </w:tcMar>
          </w:tcPr>
          <w:p>
            <w:pPr>
              <w:spacing w:after="0" w:line="244"/>
              <w:jc w:val="left"/>
            </w:pPr>
            <w:r>
              <w:rPr>
                <w:b w:val="false"/>
                <w:bCs w:val="false"/>
                <w:sz w:val="16"/>
                <w:szCs w:val="16"/>
              </w:rPr>
              <w:t xml:space="preserve">Shocks</w:t>
            </w:r>
          </w:p>
        </w:tc>
        <w:tc>
          <w:tcPr>
            <w:tcW w:type="dxa" w:w="7260"/>
            <w:shd w:fill="FFFFFF" w:val="clear"/>
            <w:tcMar>
              <w:top w:type="dxa" w:w="52"/>
              <w:left w:type="dxa" w:w="80"/>
              <w:bottom w:type="dxa" w:w="52"/>
              <w:right w:type="dxa" w:w="80"/>
            </w:tcMar>
          </w:tcPr>
          <w:p>
            <w:pPr>
              <w:spacing w:after="0" w:line="244"/>
              <w:jc w:val="left"/>
            </w:pPr>
            <w:r>
              <w:rPr>
                <w:b w:val="false"/>
                <w:bCs w:val="false"/>
                <w:sz w:val="16"/>
                <w:szCs w:val="16"/>
              </w:rPr>
              <w:t xml:space="preserve">epidemics, conflict, climate</w:t>
            </w:r>
          </w:p>
        </w:tc>
      </w:tr>
    </w:tbl>
    <w:p>
      <w:pPr>
        <w:spacing w:after="30" w:before="70"/>
      </w:pPr>
      <w:r>
        <w:rPr>
          <w:b/>
          <w:bCs/>
          <w:color w:val="1C7C74"/>
          <w:sz w:val="20"/>
          <w:szCs w:val="20"/>
        </w:rPr>
        <w:t xml:space="preserve">Governing structural equation(s)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P(SDG3) = σ( α + ∑ₘ λₘ · gapₘ ) ,  gapₘ = (targetₘ − projectedₘ)/targetₘ</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required AARR = (1/n)·ln(target/current); on-track if achieved AARR ≥ required</w:t>
      </w:r>
    </w:p>
    <w:p>
      <w:pPr>
        <w:spacing w:after="30" w:before="50"/>
      </w:pPr>
      <w:r>
        <w:rPr>
          <w:b/>
          <w:bCs/>
          <w:color w:val="1C7C74"/>
          <w:sz w:val="20"/>
          <w:szCs w:val="20"/>
        </w:rPr>
        <w:t xml:space="preserve">Key assumptions</w:t>
      </w:r>
    </w:p>
    <w:p>
      <w:pPr>
        <w:pStyle w:val="ListParagraph"/>
        <w:numPr>
          <w:ilvl w:val="0"/>
          <w:numId w:val="2"/>
        </w:numPr>
        <w:spacing w:after="60" w:line="264"/>
      </w:pPr>
      <w:r>
        <w:t xml:space="preserve">Integrates the posterior distributions of all disease-specific networks into one attainment estimate.</w:t>
      </w:r>
    </w:p>
    <w:p>
      <w:pPr>
        <w:pStyle w:val="ListParagraph"/>
        <w:numPr>
          <w:ilvl w:val="0"/>
          <w:numId w:val="2"/>
        </w:numPr>
        <w:spacing w:after="60" w:line="264"/>
      </w:pPr>
      <w:r>
        <w:t xml:space="preserve">Target gaps combine required-versus-achieved rates of change to 2030.</w:t>
      </w:r>
    </w:p>
    <w:p>
      <w:pPr>
        <w:pStyle w:val="ListParagraph"/>
        <w:numPr>
          <w:ilvl w:val="0"/>
          <w:numId w:val="2"/>
        </w:numPr>
        <w:spacing w:after="60" w:line="264"/>
      </w:pPr>
      <w:r>
        <w:t xml:space="preserve">Improvements applied in constituent networks propagate up to SDG 3 automatically.</w:t>
      </w:r>
    </w:p>
    <w:p>
      <w:r>
        <w:br w:type="page"/>
      </w:r>
    </w:p>
    <w:p>
      <w:pPr>
        <w:pStyle w:val="Heading1"/>
      </w:pPr>
      <w:r>
        <w:rPr>
          <w:b/>
          <w:bCs/>
          <w:color w:val="0B132B"/>
        </w:rPr>
        <w:t xml:space="preserve">6. Bayesian scenario library</w:t>
      </w:r>
    </w:p>
    <w:p>
      <w:pPr>
        <w:spacing w:after="120" w:line="276"/>
        <w:jc w:val="both"/>
      </w:pPr>
      <w:r>
        <w:rPr>
          <w:b w:val="false"/>
          <w:bCs w:val="false"/>
          <w:i w:val="false"/>
          <w:iCs w:val="false"/>
        </w:rPr>
        <w:t xml:space="preserve">Rather than moving one variable at a time, scenarios are defined as packages that intervene on several determinants across layers simultaneously — do(Xₛ = xₛ) — and are evaluated by posterior-predictive propagation. The core library:</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2350"/>
        <w:gridCol w:w="4650"/>
        <w:gridCol w:w="2360"/>
      </w:tblGrid>
      <w:tr>
        <w:trPr>
          <w:tblHeader/>
        </w:trPr>
        <w:tc>
          <w:tcPr>
            <w:tcW w:type="dxa" w:w="2350"/>
            <w:shd w:fill="0B132B" w:val="clear"/>
            <w:tcMar>
              <w:top w:type="dxa" w:w="52"/>
              <w:left w:type="dxa" w:w="80"/>
              <w:bottom w:type="dxa" w:w="52"/>
              <w:right w:type="dxa" w:w="80"/>
            </w:tcMar>
          </w:tcPr>
          <w:p>
            <w:pPr>
              <w:spacing w:after="0" w:line="244"/>
              <w:jc w:val="left"/>
            </w:pPr>
            <w:r>
              <w:rPr>
                <w:b/>
                <w:bCs/>
                <w:color w:val="FFFFFF"/>
                <w:sz w:val="17"/>
                <w:szCs w:val="17"/>
              </w:rPr>
              <w:t xml:space="preserve">Package</w:t>
            </w:r>
          </w:p>
        </w:tc>
        <w:tc>
          <w:tcPr>
            <w:tcW w:type="dxa" w:w="4650"/>
            <w:shd w:fill="0B132B" w:val="clear"/>
            <w:tcMar>
              <w:top w:type="dxa" w:w="52"/>
              <w:left w:type="dxa" w:w="80"/>
              <w:bottom w:type="dxa" w:w="52"/>
              <w:right w:type="dxa" w:w="80"/>
            </w:tcMar>
          </w:tcPr>
          <w:p>
            <w:pPr>
              <w:spacing w:after="0" w:line="244"/>
              <w:jc w:val="left"/>
            </w:pPr>
            <w:r>
              <w:rPr>
                <w:b/>
                <w:bCs/>
                <w:color w:val="FFFFFF"/>
                <w:sz w:val="17"/>
                <w:szCs w:val="17"/>
              </w:rPr>
              <w:t xml:space="preserve">Interventions (do-set)</w:t>
            </w:r>
          </w:p>
        </w:tc>
        <w:tc>
          <w:tcPr>
            <w:tcW w:type="dxa" w:w="2360"/>
            <w:shd w:fill="0B132B" w:val="clear"/>
            <w:tcMar>
              <w:top w:type="dxa" w:w="52"/>
              <w:left w:type="dxa" w:w="80"/>
              <w:bottom w:type="dxa" w:w="52"/>
              <w:right w:type="dxa" w:w="80"/>
            </w:tcMar>
          </w:tcPr>
          <w:p>
            <w:pPr>
              <w:spacing w:after="0" w:line="244"/>
              <w:jc w:val="left"/>
            </w:pPr>
            <w:r>
              <w:rPr>
                <w:b/>
                <w:bCs/>
                <w:color w:val="FFFFFF"/>
                <w:sz w:val="17"/>
                <w:szCs w:val="17"/>
              </w:rPr>
              <w:t xml:space="preserve">Shock</w:t>
            </w:r>
          </w:p>
        </w:tc>
      </w:tr>
      <w:tr>
        <w:tc>
          <w:tcPr>
            <w:tcW w:type="dxa" w:w="2350"/>
            <w:shd w:fill="FFFFFF" w:val="clear"/>
            <w:tcMar>
              <w:top w:type="dxa" w:w="52"/>
              <w:left w:type="dxa" w:w="80"/>
              <w:bottom w:type="dxa" w:w="52"/>
              <w:right w:type="dxa" w:w="80"/>
            </w:tcMar>
          </w:tcPr>
          <w:p>
            <w:pPr>
              <w:spacing w:after="0" w:line="244"/>
              <w:jc w:val="left"/>
            </w:pPr>
            <w:r>
              <w:rPr>
                <w:b w:val="false"/>
                <w:bCs w:val="false"/>
                <w:sz w:val="17"/>
                <w:szCs w:val="17"/>
              </w:rPr>
              <w:t xml:space="preserve">Baseline</w:t>
            </w:r>
          </w:p>
        </w:tc>
        <w:tc>
          <w:tcPr>
            <w:tcW w:type="dxa" w:w="4650"/>
            <w:shd w:fill="FFFFFF" w:val="clear"/>
            <w:tcMar>
              <w:top w:type="dxa" w:w="52"/>
              <w:left w:type="dxa" w:w="80"/>
              <w:bottom w:type="dxa" w:w="52"/>
              <w:right w:type="dxa" w:w="80"/>
            </w:tcMar>
          </w:tcPr>
          <w:p>
            <w:pPr>
              <w:spacing w:after="0" w:line="244"/>
              <w:jc w:val="left"/>
            </w:pPr>
            <w:r>
              <w:rPr>
                <w:b w:val="false"/>
                <w:bCs w:val="false"/>
                <w:sz w:val="17"/>
                <w:szCs w:val="17"/>
              </w:rPr>
              <w:t xml:space="preserve">all determinants at observed values</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EEF2F6" w:val="clear"/>
            <w:tcMar>
              <w:top w:type="dxa" w:w="52"/>
              <w:left w:type="dxa" w:w="80"/>
              <w:bottom w:type="dxa" w:w="52"/>
              <w:right w:type="dxa" w:w="80"/>
            </w:tcMar>
          </w:tcPr>
          <w:p>
            <w:pPr>
              <w:spacing w:after="0" w:line="244"/>
              <w:jc w:val="left"/>
            </w:pPr>
            <w:r>
              <w:rPr>
                <w:b w:val="false"/>
                <w:bCs w:val="false"/>
                <w:sz w:val="17"/>
                <w:szCs w:val="17"/>
              </w:rPr>
              <w:t xml:space="preserve">Health-workforce scale-up</w:t>
            </w:r>
          </w:p>
        </w:tc>
        <w:tc>
          <w:tcPr>
            <w:tcW w:type="dxa" w:w="4650"/>
            <w:shd w:fill="EEF2F6" w:val="clear"/>
            <w:tcMar>
              <w:top w:type="dxa" w:w="52"/>
              <w:left w:type="dxa" w:w="80"/>
              <w:bottom w:type="dxa" w:w="52"/>
              <w:right w:type="dxa" w:w="80"/>
            </w:tcMar>
          </w:tcPr>
          <w:p>
            <w:pPr>
              <w:spacing w:after="0" w:line="244"/>
              <w:jc w:val="left"/>
            </w:pPr>
            <w:r>
              <w:rPr>
                <w:b w:val="false"/>
                <w:bCs w:val="false"/>
                <w:sz w:val="17"/>
                <w:szCs w:val="17"/>
              </w:rPr>
              <w:t xml:space="preserve">+30% core workforce</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FFFFFF" w:val="clear"/>
            <w:tcMar>
              <w:top w:type="dxa" w:w="52"/>
              <w:left w:type="dxa" w:w="80"/>
              <w:bottom w:type="dxa" w:w="52"/>
              <w:right w:type="dxa" w:w="80"/>
            </w:tcMar>
          </w:tcPr>
          <w:p>
            <w:pPr>
              <w:spacing w:after="0" w:line="244"/>
              <w:jc w:val="left"/>
            </w:pPr>
            <w:r>
              <w:rPr>
                <w:b w:val="false"/>
                <w:bCs w:val="false"/>
                <w:sz w:val="17"/>
                <w:szCs w:val="17"/>
              </w:rPr>
              <w:t xml:space="preserve">Safe motherhood</w:t>
            </w:r>
          </w:p>
        </w:tc>
        <w:tc>
          <w:tcPr>
            <w:tcW w:type="dxa" w:w="4650"/>
            <w:shd w:fill="FFFFFF" w:val="clear"/>
            <w:tcMar>
              <w:top w:type="dxa" w:w="52"/>
              <w:left w:type="dxa" w:w="80"/>
              <w:bottom w:type="dxa" w:w="52"/>
              <w:right w:type="dxa" w:w="80"/>
            </w:tcMar>
          </w:tcPr>
          <w:p>
            <w:pPr>
              <w:spacing w:after="0" w:line="244"/>
              <w:jc w:val="left"/>
            </w:pPr>
            <w:r>
              <w:rPr>
                <w:b w:val="false"/>
                <w:bCs w:val="false"/>
                <w:sz w:val="17"/>
                <w:szCs w:val="17"/>
              </w:rPr>
              <w:t xml:space="preserve">+25% SBA, +20% EmONC, +20% ANC8, −15% anaemia, +15% referrals, +10% death reviews</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EEF2F6" w:val="clear"/>
            <w:tcMar>
              <w:top w:type="dxa" w:w="52"/>
              <w:left w:type="dxa" w:w="80"/>
              <w:bottom w:type="dxa" w:w="52"/>
              <w:right w:type="dxa" w:w="80"/>
            </w:tcMar>
          </w:tcPr>
          <w:p>
            <w:pPr>
              <w:spacing w:after="0" w:line="244"/>
              <w:jc w:val="left"/>
            </w:pPr>
            <w:r>
              <w:rPr>
                <w:b w:val="false"/>
                <w:bCs w:val="false"/>
                <w:sz w:val="17"/>
                <w:szCs w:val="17"/>
              </w:rPr>
              <w:t xml:space="preserve">HIV acceleration</w:t>
            </w:r>
          </w:p>
        </w:tc>
        <w:tc>
          <w:tcPr>
            <w:tcW w:type="dxa" w:w="4650"/>
            <w:shd w:fill="EEF2F6" w:val="clear"/>
            <w:tcMar>
              <w:top w:type="dxa" w:w="52"/>
              <w:left w:type="dxa" w:w="80"/>
              <w:bottom w:type="dxa" w:w="52"/>
              <w:right w:type="dxa" w:w="80"/>
            </w:tcMar>
          </w:tcPr>
          <w:p>
            <w:pPr>
              <w:spacing w:after="0" w:line="244"/>
              <w:jc w:val="left"/>
            </w:pPr>
            <w:r>
              <w:rPr>
                <w:b w:val="false"/>
                <w:bCs w:val="false"/>
                <w:sz w:val="17"/>
                <w:szCs w:val="17"/>
              </w:rPr>
              <w:t xml:space="preserve">+20% ART, +15% PMTCT, −10% HIV prevalence, +15% supply chain</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FFFFFF" w:val="clear"/>
            <w:tcMar>
              <w:top w:type="dxa" w:w="52"/>
              <w:left w:type="dxa" w:w="80"/>
              <w:bottom w:type="dxa" w:w="52"/>
              <w:right w:type="dxa" w:w="80"/>
            </w:tcMar>
          </w:tcPr>
          <w:p>
            <w:pPr>
              <w:spacing w:after="0" w:line="244"/>
              <w:jc w:val="left"/>
            </w:pPr>
            <w:r>
              <w:rPr>
                <w:b w:val="false"/>
                <w:bCs w:val="false"/>
                <w:sz w:val="17"/>
                <w:szCs w:val="17"/>
              </w:rPr>
              <w:t xml:space="preserve">UHC investment</w:t>
            </w:r>
          </w:p>
        </w:tc>
        <w:tc>
          <w:tcPr>
            <w:tcW w:type="dxa" w:w="4650"/>
            <w:shd w:fill="FFFFFF" w:val="clear"/>
            <w:tcMar>
              <w:top w:type="dxa" w:w="52"/>
              <w:left w:type="dxa" w:w="80"/>
              <w:bottom w:type="dxa" w:w="52"/>
              <w:right w:type="dxa" w:w="80"/>
            </w:tcMar>
          </w:tcPr>
          <w:p>
            <w:pPr>
              <w:spacing w:after="0" w:line="244"/>
              <w:jc w:val="left"/>
            </w:pPr>
            <w:r>
              <w:rPr>
                <w:b w:val="false"/>
                <w:bCs w:val="false"/>
                <w:sz w:val="17"/>
                <w:szCs w:val="17"/>
              </w:rPr>
              <w:t xml:space="preserve">+20% readiness, +15% FP, −10% unmet need, +5% insurance, +20% facility density, +15% spending</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EEF2F6" w:val="clear"/>
            <w:tcMar>
              <w:top w:type="dxa" w:w="52"/>
              <w:left w:type="dxa" w:w="80"/>
              <w:bottom w:type="dxa" w:w="52"/>
              <w:right w:type="dxa" w:w="80"/>
            </w:tcMar>
          </w:tcPr>
          <w:p>
            <w:pPr>
              <w:spacing w:after="0" w:line="244"/>
              <w:jc w:val="left"/>
            </w:pPr>
            <w:r>
              <w:rPr>
                <w:b w:val="false"/>
                <w:bCs w:val="false"/>
                <w:sz w:val="17"/>
                <w:szCs w:val="17"/>
              </w:rPr>
              <w:t xml:space="preserve">Digital transformation</w:t>
            </w:r>
          </w:p>
        </w:tc>
        <w:tc>
          <w:tcPr>
            <w:tcW w:type="dxa" w:w="4650"/>
            <w:shd w:fill="EEF2F6" w:val="clear"/>
            <w:tcMar>
              <w:top w:type="dxa" w:w="52"/>
              <w:left w:type="dxa" w:w="80"/>
              <w:bottom w:type="dxa" w:w="52"/>
              <w:right w:type="dxa" w:w="80"/>
            </w:tcMar>
          </w:tcPr>
          <w:p>
            <w:pPr>
              <w:spacing w:after="0" w:line="244"/>
              <w:jc w:val="left"/>
            </w:pPr>
            <w:r>
              <w:rPr>
                <w:b w:val="false"/>
                <w:bCs w:val="false"/>
                <w:sz w:val="17"/>
                <w:szCs w:val="17"/>
              </w:rPr>
              <w:t xml:space="preserve">+40% EMR, +30% connectivity, +30% interoperability / HIS maturity</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none</w:t>
            </w:r>
          </w:p>
        </w:tc>
      </w:tr>
      <w:tr>
        <w:tc>
          <w:tcPr>
            <w:tcW w:type="dxa" w:w="2350"/>
            <w:shd w:fill="FFFFFF" w:val="clear"/>
            <w:tcMar>
              <w:top w:type="dxa" w:w="52"/>
              <w:left w:type="dxa" w:w="80"/>
              <w:bottom w:type="dxa" w:w="52"/>
              <w:right w:type="dxa" w:w="80"/>
            </w:tcMar>
          </w:tcPr>
          <w:p>
            <w:pPr>
              <w:spacing w:after="0" w:line="244"/>
              <w:jc w:val="left"/>
            </w:pPr>
            <w:r>
              <w:rPr>
                <w:b w:val="false"/>
                <w:bCs w:val="false"/>
                <w:sz w:val="17"/>
                <w:szCs w:val="17"/>
              </w:rPr>
              <w:t xml:space="preserve">Climate shock</w:t>
            </w:r>
          </w:p>
        </w:tc>
        <w:tc>
          <w:tcPr>
            <w:tcW w:type="dxa" w:w="4650"/>
            <w:shd w:fill="FFFFFF" w:val="clear"/>
            <w:tcMar>
              <w:top w:type="dxa" w:w="52"/>
              <w:left w:type="dxa" w:w="80"/>
              <w:bottom w:type="dxa" w:w="52"/>
              <w:right w:type="dxa" w:w="80"/>
            </w:tcMar>
          </w:tcPr>
          <w:p>
            <w:pPr>
              <w:spacing w:after="0" w:line="244"/>
              <w:jc w:val="left"/>
            </w:pPr>
            <w:r>
              <w:rPr>
                <w:b w:val="false"/>
                <w:bCs w:val="false"/>
                <w:sz w:val="17"/>
                <w:szCs w:val="17"/>
              </w:rPr>
              <w:t xml:space="preserve">−10% readiness, −5% ANC, +20% malaria, −20% road access, −10% reporting</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flood</w:t>
            </w:r>
          </w:p>
        </w:tc>
      </w:tr>
      <w:tr>
        <w:tc>
          <w:tcPr>
            <w:tcW w:type="dxa" w:w="2350"/>
            <w:shd w:fill="EEF2F6" w:val="clear"/>
            <w:tcMar>
              <w:top w:type="dxa" w:w="52"/>
              <w:left w:type="dxa" w:w="80"/>
              <w:bottom w:type="dxa" w:w="52"/>
              <w:right w:type="dxa" w:w="80"/>
            </w:tcMar>
          </w:tcPr>
          <w:p>
            <w:pPr>
              <w:spacing w:after="0" w:line="244"/>
              <w:jc w:val="left"/>
            </w:pPr>
            <w:r>
              <w:rPr>
                <w:b w:val="false"/>
                <w:bCs w:val="false"/>
                <w:sz w:val="17"/>
                <w:szCs w:val="17"/>
              </w:rPr>
              <w:t xml:space="preserve">Conflict</w:t>
            </w:r>
          </w:p>
        </w:tc>
        <w:tc>
          <w:tcPr>
            <w:tcW w:type="dxa" w:w="4650"/>
            <w:shd w:fill="EEF2F6" w:val="clear"/>
            <w:tcMar>
              <w:top w:type="dxa" w:w="52"/>
              <w:left w:type="dxa" w:w="80"/>
              <w:bottom w:type="dxa" w:w="52"/>
              <w:right w:type="dxa" w:w="80"/>
            </w:tcMar>
          </w:tcPr>
          <w:p>
            <w:pPr>
              <w:spacing w:after="0" w:line="244"/>
              <w:jc w:val="left"/>
            </w:pPr>
            <w:r>
              <w:rPr>
                <w:b w:val="false"/>
                <w:bCs w:val="false"/>
                <w:sz w:val="17"/>
                <w:szCs w:val="17"/>
              </w:rPr>
              <w:t xml:space="preserve">−25% workforce, −15% service use, +15% outbreaks, +10% poverty, −30% access</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conflict</w:t>
            </w:r>
          </w:p>
        </w:tc>
      </w:tr>
      <w:tr>
        <w:tc>
          <w:tcPr>
            <w:tcW w:type="dxa" w:w="2350"/>
            <w:shd w:fill="FFFFFF" w:val="clear"/>
            <w:tcMar>
              <w:top w:type="dxa" w:w="52"/>
              <w:left w:type="dxa" w:w="80"/>
              <w:bottom w:type="dxa" w:w="52"/>
              <w:right w:type="dxa" w:w="80"/>
            </w:tcMar>
          </w:tcPr>
          <w:p>
            <w:pPr>
              <w:spacing w:after="0" w:line="244"/>
              <w:jc w:val="left"/>
            </w:pPr>
            <w:r>
              <w:rPr>
                <w:b w:val="false"/>
                <w:bCs w:val="false"/>
                <w:sz w:val="17"/>
                <w:szCs w:val="17"/>
              </w:rPr>
              <w:t xml:space="preserve">Pandemic</w:t>
            </w:r>
          </w:p>
        </w:tc>
        <w:tc>
          <w:tcPr>
            <w:tcW w:type="dxa" w:w="4650"/>
            <w:shd w:fill="FFFFFF" w:val="clear"/>
            <w:tcMar>
              <w:top w:type="dxa" w:w="52"/>
              <w:left w:type="dxa" w:w="80"/>
              <w:bottom w:type="dxa" w:w="52"/>
              <w:right w:type="dxa" w:w="80"/>
            </w:tcMar>
          </w:tcPr>
          <w:p>
            <w:pPr>
              <w:spacing w:after="0" w:line="244"/>
              <w:jc w:val="left"/>
            </w:pPr>
            <w:r>
              <w:rPr>
                <w:b w:val="false"/>
                <w:bCs w:val="false"/>
                <w:sz w:val="17"/>
                <w:szCs w:val="17"/>
              </w:rPr>
              <w:t xml:space="preserve">−20% routine services, −10% ANC, +15% indirect mortality, delayed reporting</w:t>
            </w:r>
          </w:p>
        </w:tc>
        <w:tc>
          <w:tcPr>
            <w:tcW w:type="dxa" w:w="2360"/>
            <w:shd w:fill="FFFFFF" w:val="clear"/>
            <w:tcMar>
              <w:top w:type="dxa" w:w="52"/>
              <w:left w:type="dxa" w:w="80"/>
              <w:bottom w:type="dxa" w:w="52"/>
              <w:right w:type="dxa" w:w="80"/>
            </w:tcMar>
          </w:tcPr>
          <w:p>
            <w:pPr>
              <w:spacing w:after="0" w:line="244"/>
              <w:jc w:val="left"/>
            </w:pPr>
            <w:r>
              <w:rPr>
                <w:b w:val="false"/>
                <w:bCs w:val="false"/>
                <w:sz w:val="17"/>
                <w:szCs w:val="17"/>
              </w:rPr>
              <w:t xml:space="preserve">epidemic</w:t>
            </w:r>
          </w:p>
        </w:tc>
      </w:tr>
      <w:tr>
        <w:tc>
          <w:tcPr>
            <w:tcW w:type="dxa" w:w="2350"/>
            <w:shd w:fill="EEF2F6" w:val="clear"/>
            <w:tcMar>
              <w:top w:type="dxa" w:w="52"/>
              <w:left w:type="dxa" w:w="80"/>
              <w:bottom w:type="dxa" w:w="52"/>
              <w:right w:type="dxa" w:w="80"/>
            </w:tcMar>
          </w:tcPr>
          <w:p>
            <w:pPr>
              <w:spacing w:after="0" w:line="244"/>
              <w:jc w:val="left"/>
            </w:pPr>
            <w:r>
              <w:rPr>
                <w:b w:val="false"/>
                <w:bCs w:val="false"/>
                <w:sz w:val="17"/>
                <w:szCs w:val="17"/>
              </w:rPr>
              <w:t xml:space="preserve">Universal reform</w:t>
            </w:r>
          </w:p>
        </w:tc>
        <w:tc>
          <w:tcPr>
            <w:tcW w:type="dxa" w:w="4650"/>
            <w:shd w:fill="EEF2F6" w:val="clear"/>
            <w:tcMar>
              <w:top w:type="dxa" w:w="52"/>
              <w:left w:type="dxa" w:w="80"/>
              <w:bottom w:type="dxa" w:w="52"/>
              <w:right w:type="dxa" w:w="80"/>
            </w:tcMar>
          </w:tcPr>
          <w:p>
            <w:pPr>
              <w:spacing w:after="0" w:line="244"/>
              <w:jc w:val="left"/>
            </w:pPr>
            <w:r>
              <w:rPr>
                <w:b w:val="false"/>
                <w:bCs w:val="false"/>
                <w:sz w:val="17"/>
                <w:szCs w:val="17"/>
              </w:rPr>
              <w:t xml:space="preserve">coordinated improvement across all layers</w:t>
            </w:r>
          </w:p>
        </w:tc>
        <w:tc>
          <w:tcPr>
            <w:tcW w:type="dxa" w:w="2360"/>
            <w:shd w:fill="EEF2F6" w:val="clear"/>
            <w:tcMar>
              <w:top w:type="dxa" w:w="52"/>
              <w:left w:type="dxa" w:w="80"/>
              <w:bottom w:type="dxa" w:w="52"/>
              <w:right w:type="dxa" w:w="80"/>
            </w:tcMar>
          </w:tcPr>
          <w:p>
            <w:pPr>
              <w:spacing w:after="0" w:line="244"/>
              <w:jc w:val="left"/>
            </w:pPr>
            <w:r>
              <w:rPr>
                <w:b w:val="false"/>
                <w:bCs w:val="false"/>
                <w:sz w:val="17"/>
                <w:szCs w:val="17"/>
              </w:rPr>
              <w:t xml:space="preserve">none</w:t>
            </w:r>
          </w:p>
        </w:tc>
      </w:tr>
    </w:tbl>
    <w:p>
      <w:pPr>
        <w:pStyle w:val="Heading1"/>
      </w:pPr>
      <w:r>
        <w:rPr>
          <w:b/>
          <w:bCs/>
          <w:color w:val="0B132B"/>
        </w:rPr>
        <w:t xml:space="preserve">7. Cross-cutting assumptions and limitations</w:t>
      </w:r>
    </w:p>
    <w:p>
      <w:pPr>
        <w:pStyle w:val="ListParagraph"/>
        <w:numPr>
          <w:ilvl w:val="0"/>
          <w:numId w:val="2"/>
        </w:numPr>
        <w:spacing w:after="60" w:line="264"/>
      </w:pPr>
      <w:r>
        <w:t xml:space="preserve">Structural assumptions: the DAG encodes assumed causal direction and the Markov condition (each node is independent of its non-descendants given its parents); results are conditional on this structure, which is elicited and open to revision.</w:t>
      </w:r>
    </w:p>
    <w:p>
      <w:pPr>
        <w:pStyle w:val="ListParagraph"/>
        <w:numPr>
          <w:ilvl w:val="0"/>
          <w:numId w:val="2"/>
        </w:numPr>
        <w:spacing w:after="60" w:line="264"/>
      </w:pPr>
      <w:r>
        <w:t xml:space="preserve">Sign-constrained magnitudes: polarities are fixed a priori; this is a deliberate identifiability aid, not a learned quantity.</w:t>
      </w:r>
    </w:p>
    <w:p>
      <w:pPr>
        <w:pStyle w:val="ListParagraph"/>
        <w:numPr>
          <w:ilvl w:val="0"/>
          <w:numId w:val="2"/>
        </w:numPr>
        <w:spacing w:after="60" w:line="264"/>
      </w:pPr>
      <w:r>
        <w:t xml:space="preserve">Prior sensitivity: where nodes are data-sparse, elicited priors carry the inference and posteriors should be reported with prior-sensitivity analysis.</w:t>
      </w:r>
    </w:p>
    <w:p>
      <w:pPr>
        <w:pStyle w:val="ListParagraph"/>
        <w:numPr>
          <w:ilvl w:val="0"/>
          <w:numId w:val="2"/>
        </w:numPr>
        <w:spacing w:after="60" w:line="264"/>
      </w:pPr>
      <w:r>
        <w:t xml:space="preserve">Ecological, mostly single-period: country-year determinants; dynamic feedbacks are represented through forecasting and shock nodes rather than full mechanistic dynamics.</w:t>
      </w:r>
    </w:p>
    <w:p>
      <w:pPr>
        <w:pStyle w:val="ListParagraph"/>
        <w:numPr>
          <w:ilvl w:val="0"/>
          <w:numId w:val="2"/>
        </w:numPr>
        <w:spacing w:after="60" w:line="264"/>
      </w:pPr>
      <w:r>
        <w:t xml:space="preserve">Simulated indicators are labelled as such and must not be read as observations; conclusions require the live mining pipeline and agency estimates.</w:t>
      </w:r>
    </w:p>
    <w:p>
      <w:pPr>
        <w:pStyle w:val="ListParagraph"/>
        <w:numPr>
          <w:ilvl w:val="0"/>
          <w:numId w:val="2"/>
        </w:numPr>
        <w:spacing w:after="60" w:line="264"/>
      </w:pPr>
      <w:r>
        <w:t xml:space="preserve">Outputs are posterior-predictive illustrations for decision support, not official national estimates.</w:t>
      </w:r>
    </w:p>
    <w:p>
      <w:pPr>
        <w:pStyle w:val="Heading1"/>
      </w:pPr>
      <w:r>
        <w:rPr>
          <w:b/>
          <w:bCs/>
          <w:color w:val="0B132B"/>
        </w:rPr>
        <w:t xml:space="preserve">8. Validation</w:t>
      </w:r>
    </w:p>
    <w:p>
      <w:pPr>
        <w:pStyle w:val="ListParagraph"/>
        <w:numPr>
          <w:ilvl w:val="0"/>
          <w:numId w:val="2"/>
        </w:numPr>
        <w:spacing w:after="60" w:line="264"/>
      </w:pPr>
      <w:r>
        <w:t xml:space="preserve">Baseline invariance: do-nothing reproduces observed outcomes (asserted in tests).</w:t>
      </w:r>
    </w:p>
    <w:p>
      <w:pPr>
        <w:pStyle w:val="ListParagraph"/>
        <w:numPr>
          <w:ilvl w:val="0"/>
          <w:numId w:val="2"/>
        </w:numPr>
        <w:spacing w:after="60" w:line="264"/>
      </w:pPr>
      <w:r>
        <w:t xml:space="preserve">Directionality: every intervention moves its outcome in the evidence-implied direction; verified on the reference networks.</w:t>
      </w:r>
    </w:p>
    <w:p>
      <w:pPr>
        <w:pStyle w:val="ListParagraph"/>
        <w:numPr>
          <w:ilvl w:val="0"/>
          <w:numId w:val="2"/>
        </w:numPr>
        <w:spacing w:after="60" w:line="264"/>
      </w:pPr>
      <w:r>
        <w:t xml:space="preserve">Calibration: posterior-predictive coverage of held-out country-years (leave-one-country-out) and credible-interval calibration checks.</w:t>
      </w:r>
    </w:p>
    <w:p>
      <w:pPr>
        <w:pStyle w:val="ListParagraph"/>
        <w:numPr>
          <w:ilvl w:val="0"/>
          <w:numId w:val="2"/>
        </w:numPr>
        <w:spacing w:after="60" w:line="264"/>
      </w:pPr>
      <w:r>
        <w:t xml:space="preserve">External coherence: relative changes checked against UNAIDS/Spectrum, UN MMEIG, UN IGME, WHO GTB/GMP and published dynamic models before operational use.</w:t>
      </w:r>
    </w:p>
    <w:p>
      <w:r>
        <w:br w:type="page"/>
      </w:r>
    </w:p>
    <w:p>
      <w:pPr>
        <w:pStyle w:val="Heading1"/>
      </w:pPr>
      <w:r>
        <w:rPr>
          <w:b/>
          <w:bCs/>
          <w:color w:val="0B132B"/>
        </w:rPr>
        <w:t xml:space="preserve">9. Selected references</w:t>
      </w:r>
    </w:p>
    <w:p>
      <w:pPr>
        <w:pStyle w:val="ListParagraph"/>
        <w:numPr>
          <w:ilvl w:val="0"/>
          <w:numId w:val="3"/>
        </w:numPr>
        <w:spacing w:after="80" w:line="262"/>
      </w:pPr>
      <w:r>
        <w:rPr>
          <w:sz w:val="19"/>
          <w:szCs w:val="19"/>
        </w:rPr>
        <w:t xml:space="preserve">Pearl J. Causality: Models, Reasoning and Inference. Cambridge University Press.</w:t>
      </w:r>
    </w:p>
    <w:p>
      <w:pPr>
        <w:pStyle w:val="ListParagraph"/>
        <w:numPr>
          <w:ilvl w:val="0"/>
          <w:numId w:val="3"/>
        </w:numPr>
        <w:spacing w:after="80" w:line="262"/>
      </w:pPr>
      <w:r>
        <w:rPr>
          <w:sz w:val="19"/>
          <w:szCs w:val="19"/>
        </w:rPr>
        <w:t xml:space="preserve">Gelman A, et al. Bayesian Data Analysis (3rd ed.).</w:t>
      </w:r>
    </w:p>
    <w:p>
      <w:pPr>
        <w:pStyle w:val="ListParagraph"/>
        <w:numPr>
          <w:ilvl w:val="0"/>
          <w:numId w:val="3"/>
        </w:numPr>
        <w:spacing w:after="80" w:line="262"/>
      </w:pPr>
      <w:r>
        <w:rPr>
          <w:sz w:val="19"/>
          <w:szCs w:val="19"/>
        </w:rPr>
        <w:t xml:space="preserve">Hoffman MD, Gelman A. The No-U-Turn Sampler. JMLR.</w:t>
      </w:r>
    </w:p>
    <w:p>
      <w:pPr>
        <w:pStyle w:val="ListParagraph"/>
        <w:numPr>
          <w:ilvl w:val="0"/>
          <w:numId w:val="3"/>
        </w:numPr>
        <w:spacing w:after="80" w:line="262"/>
      </w:pPr>
      <w:r>
        <w:rPr>
          <w:sz w:val="19"/>
          <w:szCs w:val="19"/>
        </w:rPr>
        <w:t xml:space="preserve">Koller D, Friedman N. Probabilistic Graphical Models. MIT Press.</w:t>
      </w:r>
    </w:p>
    <w:p>
      <w:pPr>
        <w:pStyle w:val="ListParagraph"/>
        <w:numPr>
          <w:ilvl w:val="0"/>
          <w:numId w:val="3"/>
        </w:numPr>
        <w:spacing w:after="80" w:line="262"/>
      </w:pPr>
      <w:r>
        <w:rPr>
          <w:sz w:val="19"/>
          <w:szCs w:val="19"/>
        </w:rPr>
        <w:t xml:space="preserve">WHO Regional Office for Africa. Maturity and Functionality of Health Information Systems in the WHO African Region (regional assessment).</w:t>
      </w:r>
    </w:p>
    <w:p>
      <w:pPr>
        <w:pStyle w:val="ListParagraph"/>
        <w:numPr>
          <w:ilvl w:val="0"/>
          <w:numId w:val="3"/>
        </w:numPr>
        <w:spacing w:after="80" w:line="262"/>
      </w:pPr>
      <w:r>
        <w:rPr>
          <w:sz w:val="19"/>
          <w:szCs w:val="19"/>
        </w:rPr>
        <w:t xml:space="preserve">Aqil A, Lippeveld T, Hozumi D. PRISM framework for RHIS performance. Health Policy Plan.</w:t>
      </w:r>
    </w:p>
    <w:p>
      <w:pPr>
        <w:pStyle w:val="ListParagraph"/>
        <w:numPr>
          <w:ilvl w:val="0"/>
          <w:numId w:val="3"/>
        </w:numPr>
        <w:spacing w:after="80" w:line="262"/>
      </w:pPr>
      <w:r>
        <w:rPr>
          <w:sz w:val="19"/>
          <w:szCs w:val="19"/>
        </w:rPr>
        <w:t xml:space="preserve">UNAIDS Spectrum/EPP; UN MMEIG; UN IGME; WHO Global TB and Global Malaria Programme estimation methods.</w:t>
      </w:r>
    </w:p>
    <w:p>
      <w:pPr>
        <w:pStyle w:val="ListParagraph"/>
        <w:numPr>
          <w:ilvl w:val="0"/>
          <w:numId w:val="3"/>
        </w:numPr>
        <w:spacing w:after="80" w:line="262"/>
      </w:pPr>
      <w:r>
        <w:rPr>
          <w:sz w:val="19"/>
          <w:szCs w:val="19"/>
        </w:rPr>
        <w:t xml:space="preserve">WHO &amp; World Bank. Tracking Universal Health Coverage: Global Monitoring Report.</w:t>
      </w:r>
    </w:p>
    <w:p>
      <w:pPr>
        <w:pStyle w:val="ListParagraph"/>
        <w:numPr>
          <w:ilvl w:val="0"/>
          <w:numId w:val="3"/>
        </w:numPr>
        <w:spacing w:after="80" w:line="262"/>
      </w:pPr>
      <w:r>
        <w:rPr>
          <w:sz w:val="19"/>
          <w:szCs w:val="19"/>
        </w:rPr>
        <w:t xml:space="preserve">Walker N, et al. The Lives Saved Tool (LiST). BMC Public Health.</w:t>
      </w:r>
    </w:p>
    <w:p>
      <w:pPr>
        <w:pStyle w:val="ListParagraph"/>
        <w:numPr>
          <w:ilvl w:val="0"/>
          <w:numId w:val="3"/>
        </w:numPr>
        <w:spacing w:after="80" w:line="262"/>
      </w:pPr>
      <w:r>
        <w:rPr>
          <w:sz w:val="19"/>
          <w:szCs w:val="19"/>
        </w:rPr>
        <w:t xml:space="preserve">GBD Risk Factors Collaborators; WHO 'best buys' for NCDs; HEARTS technical package.</w:t>
      </w:r>
    </w:p>
    <w:p>
      <w:pPr>
        <w:pStyle w:val="ListParagraph"/>
        <w:numPr>
          <w:ilvl w:val="0"/>
          <w:numId w:val="3"/>
        </w:numPr>
        <w:spacing w:after="80" w:line="262"/>
      </w:pPr>
      <w:r>
        <w:rPr>
          <w:sz w:val="19"/>
          <w:szCs w:val="19"/>
        </w:rPr>
        <w:t xml:space="preserve">WHO GHO OData API; World Bank Indicators API; UNICEF SDMX; UNFPA, UNAIDS data portals; ACLED; EM-DAT; DHIS2 Web API.</w:t>
      </w:r>
    </w:p>
    <w:p>
      <w:r>
        <w:br w:type="page"/>
      </w:r>
    </w:p>
    <w:p>
      <w:pPr>
        <w:pStyle w:val="Heading1"/>
      </w:pPr>
      <w:r>
        <w:rPr>
          <w:b/>
          <w:bCs/>
          <w:color w:val="0B132B"/>
        </w:rPr>
        <w:t xml:space="preserve">Disclaimer</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Illustrative decision-support</w:t>
            </w:r>
          </w:p>
          <w:p>
            <w:pPr>
              <w:spacing w:after="0" w:line="266"/>
              <w:jc w:val="both"/>
            </w:pPr>
            <w:r>
              <w:rPr>
                <w:sz w:val="19"/>
                <w:szCs w:val="19"/>
              </w:rPr>
              <w:t xml:space="preserve">This engine produces posterior-predictive scenario illustrations from Bayesian networks whose structure is elicited and whose coefficients are, in this release, partly elicited and partly fitted to illustrative or simulated data. Simulated indicators are labelled as such. Outputs do not replace agency estimates or detailed dynamic models and must not be cited as official estimates. All structure, priors, code and assumptions are open to scientific review and must be validated against national data before operational use.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jc w:val="right"/>
    </w:pPr>
    <w:r>
      <w:rPr>
        <w:color w:val="334155"/>
        <w:sz w:val="15"/>
        <w:szCs w:val="15"/>
      </w:rPr>
      <w:t xml:space="preserve">IHSA · Bayesian Health Systems Scenario Engine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0B132B"/>
      <w:sz w:val="32"/>
      <w:szCs w:val="32"/>
    </w:rPr>
  </w:style>
  <w:style w:type="paragraph" w:styleId="Heading2">
    <w:name w:val="Heading 2"/>
    <w:basedOn w:val="Normal"/>
    <w:next w:val="Normal"/>
    <w:qFormat/>
    <w:pPr>
      <w:spacing w:after="100" w:before="220"/>
    </w:pPr>
    <w:rPr>
      <w:b/>
      <w:bCs/>
      <w:color w:val="1C25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Bayesian Health Systems Scenario Engine — Methodology</dc:title>
  <dc:creator>WHO AFRO IHSA</dc:creator>
  <cp:lastModifiedBy>Un-named</cp:lastModifiedBy>
  <cp:revision>1</cp:revision>
  <dcterms:created xsi:type="dcterms:W3CDTF">2026-07-04T20:42:11.459Z</dcterms:created>
  <dcterms:modified xsi:type="dcterms:W3CDTF">2026-07-04T20:42:11.460Z</dcterms:modified>
</cp:coreProperties>
</file>

<file path=docProps/custom.xml><?xml version="1.0" encoding="utf-8"?>
<Properties xmlns="http://schemas.openxmlformats.org/officeDocument/2006/custom-properties" xmlns:vt="http://schemas.openxmlformats.org/officeDocument/2006/docPropsVTypes"/>
</file>