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100"/>
        <w:jc w:val="center"/>
      </w:pPr>
      <w:r>
        <w:rPr>
          <w:b/>
          <w:bCs/>
          <w:color w:val="1C7C74"/>
          <w:sz w:val="34"/>
          <w:szCs w:val="34"/>
        </w:rPr>
        <w:t xml:space="preserve">WHO AFRO · IHSA</w:t>
      </w:r>
    </w:p>
    <w:p>
      <w:pPr>
        <w:spacing w:before="70"/>
        <w:jc w:val="center"/>
      </w:pPr>
      <w:r>
        <w:rPr>
          <w:b/>
          <w:bCs/>
          <w:color w:val="0B132B"/>
          <w:sz w:val="46"/>
          <w:szCs w:val="46"/>
        </w:rPr>
        <w:t xml:space="preserve">Variable Screening Report</w:t>
      </w:r>
    </w:p>
    <w:p>
      <w:pPr>
        <w:spacing w:before="110"/>
        <w:jc w:val="center"/>
      </w:pPr>
      <w:r>
        <w:rPr>
          <w:i/>
          <w:iCs/>
          <w:color w:val="334155"/>
          <w:sz w:val="25"/>
          <w:szCs w:val="25"/>
        </w:rPr>
        <w:t xml:space="preserve">Sensitivity-based selection of the final predictor set</w:t>
      </w:r>
    </w:p>
    <w:p>
      <w:pPr>
        <w:pBdr>
          <w:top w:val="single" w:color="C0392B" w:sz="6"/>
        </w:pBdr>
        <w:spacing w:before="600"/>
        <w:jc w:val="center"/>
      </w:pPr>
      <w:r>
        <w:rPr>
          <w:sz w:val="2"/>
          <w:szCs w:val="2"/>
        </w:rPr>
        <w:t xml:space="preserve"/>
      </w:r>
    </w:p>
    <w:p>
      <w:pPr>
        <w:spacing w:before="230"/>
        <w:jc w:val="center"/>
      </w:pPr>
      <w:r>
        <w:rPr>
          <w:color w:val="1C2541"/>
          <w:sz w:val="20"/>
          <w:szCs w:val="20"/>
        </w:rPr>
        <w:t xml:space="preserve">One-at-a-time sensitivity analysis · effect thresholding · do-operator refinement ·</w:t>
      </w:r>
    </w:p>
    <w:p>
      <w:pPr>
        <w:spacing w:before="24"/>
        <w:jc w:val="center"/>
      </w:pPr>
      <w:r>
        <w:rPr>
          <w:color w:val="1C2541"/>
          <w:sz w:val="20"/>
          <w:szCs w:val="20"/>
        </w:rPr>
        <w:t xml:space="preserve">reproducible screening of every predictor in every module</w:t>
      </w:r>
    </w:p>
    <w:p>
      <w:pPr>
        <w:spacing w:before="760"/>
        <w:jc w:val="center"/>
      </w:pPr>
      <w:r>
        <w:rPr>
          <w:color w:val="334155"/>
          <w:sz w:val="20"/>
          <w:szCs w:val="20"/>
        </w:rPr>
        <w:t xml:space="preserve">Companion to the IHSA Definitive Methodology · v1.0</w:t>
      </w:r>
    </w:p>
    <w:p>
      <w:r>
        <w:br w:type="page"/>
      </w:r>
    </w:p>
    <w:p>
      <w:pPr>
        <w:pStyle w:val="Heading1"/>
      </w:pPr>
      <w:r>
        <w:rPr>
          <w:b/>
          <w:bCs/>
          <w:color w:val="0B132B"/>
        </w:rPr>
        <w:t xml:space="preserve">1. Objective</w:t>
      </w:r>
    </w:p>
    <w:p>
      <w:pPr>
        <w:spacing w:after="128" w:line="278"/>
        <w:jc w:val="both"/>
      </w:pPr>
      <w:r>
        <w:rPr>
          <w:sz w:val="21"/>
          <w:szCs w:val="21"/>
        </w:rPr>
        <w:t xml:space="preserve">Following the transcription of the full enterprise predictor specification into the models, this exercise runs every model and retains only those variables that demonstrably move the outcome, producing a parsimonious final variable set in which every retained predictor earns its place. Variables with no effect add parameters and cognitive load without improving inference, so they are identified by a transparent, reproducible sensitivity procedure and either removed or, where they are genuine inputs from another module, reclassified. This report documents the method, the results and the decision made for every variable that was screened out.</w:t>
      </w:r>
    </w:p>
    <w:p>
      <w:pPr>
        <w:pStyle w:val="Heading1"/>
      </w:pPr>
      <w:r>
        <w:rPr>
          <w:b/>
          <w:bCs/>
          <w:color w:val="0B132B"/>
        </w:rPr>
        <w:t xml:space="preserve">2. Method</w:t>
      </w:r>
    </w:p>
    <w:p>
      <w:pPr>
        <w:spacing w:after="128" w:line="278"/>
        <w:jc w:val="both"/>
      </w:pPr>
      <w:r>
        <w:rPr>
          <w:sz w:val="21"/>
          <w:szCs w:val="21"/>
        </w:rPr>
        <w:t xml:space="preserve">Screening uses one-at-a-time (OAT) global sensitivity analysis. For each model and each candidate predictor, all other predictors are held at the country baseline and the predictor is swung across its full plausible range [min, max]; the resulting movement of the primary outcome is recorded as a normalised effect:</w:t>
      </w:r>
    </w:p>
    <w:p>
      <w:pPr>
        <w:pBdr>
          <w:top w:val="single" w:color="D9E2EC" w:sz="2"/>
          <w:bottom w:val="single" w:color="D9E2EC" w:sz="2"/>
        </w:pBdr>
        <w:spacing w:after="100" w:before="60"/>
        <w:jc w:val="center"/>
      </w:pPr>
      <w:r>
        <w:rPr>
          <w:rFonts w:ascii="Cambria Math" w:cs="Cambria Math" w:eastAsia="Cambria Math" w:hAnsi="Cambria Math"/>
          <w:i/>
          <w:iCs/>
          <w:color w:val="1C2541"/>
          <w:sz w:val="22"/>
          <w:szCs w:val="22"/>
        </w:rPr>
        <w:t xml:space="preserve">effect(p) = | f(x | p = max) − f(x | p = min) |  /  | f(x_baseline) |</w:t>
      </w:r>
    </w:p>
    <w:p>
      <w:pPr>
        <w:spacing w:after="128" w:line="278"/>
        <w:jc w:val="both"/>
      </w:pPr>
      <w:r>
        <w:rPr>
          <w:sz w:val="21"/>
          <w:szCs w:val="21"/>
        </w:rPr>
        <w:t xml:space="preserve">This is the fraction by which the outcome moves when the predictor is driven from one end of its range to the other. A predictor is judged EFFECTIVE if effect(p) exceeds a small threshold (0.001, i.e. it shifts the outcome by at least 0.1%) and INERT otherwise. For the Bayesian domains the two end-point evaluations are run with the same fixed Monte-Carlo seed, so they share the same random draws and the difference is free of sampling noise. The procedure is implemented in scripts/screen_predictors.py and writes its full results to docs/predictor_screening.csv, so it can be re-run at any time and audited predictor by predictor.</w:t>
      </w:r>
    </w:p>
    <w:tbl>
      <w:tblPr>
        <w:tblW w:type="dxa" w:w="9360"/>
        <w:tblBorders>
          <w:top w:val="none"/>
          <w:left w:val="none"/>
          <w:bottom w:val="none"/>
          <w:right w:val="none"/>
          <w:insideH w:val="none"/>
          <w:insideV w:val="none"/>
        </w:tblBorders>
      </w:tblPr>
      <w:tblGrid>
        <w:gridCol w:w="70"/>
        <w:gridCol w:w="9290"/>
      </w:tblGrid>
      <w:tr>
        <w:tc>
          <w:tcPr>
            <w:tcW w:type="dxa" w:w="70"/>
            <w:shd w:fill="1C7C74" w:val="clear"/>
          </w:tcPr>
          <w:p/>
        </w:tc>
        <w:tc>
          <w:tcPr>
            <w:tcW w:type="dxa" w:w="9290"/>
            <w:shd w:fill="EEF2F6" w:val="clear"/>
            <w:tcMar>
              <w:top w:type="dxa" w:w="90"/>
              <w:left w:type="dxa" w:w="150"/>
              <w:bottom w:type="dxa" w:w="90"/>
              <w:right w:type="dxa" w:w="130"/>
            </w:tcMar>
          </w:tcPr>
          <w:p>
            <w:pPr>
              <w:spacing w:after="50"/>
            </w:pPr>
            <w:r>
              <w:rPr>
                <w:b/>
                <w:bCs/>
                <w:color w:val="1C2541"/>
              </w:rPr>
              <w:t xml:space="preserve">Why OAT is appropriate here</w:t>
            </w:r>
          </w:p>
          <w:p>
            <w:pPr>
              <w:spacing w:after="0" w:line="266"/>
              <w:jc w:val="both"/>
            </w:pPr>
            <w:r>
              <w:rPr>
                <w:sz w:val="19"/>
                <w:szCs w:val="19"/>
              </w:rPr>
              <w:t xml:space="preserve">The models are anchored so that a do-nothing scenario reproduces the baseline exactly, and each predictor enters with a monotone, sign-constrained effect. Under these conditions an OAT range-sweep is a faithful and interpretable measure of whether a predictor has any influence at all, which is exactly the question variable screening asks. Interaction effects, which OAT does not capture, are not needed to answer that binary question.</w:t>
            </w:r>
          </w:p>
        </w:tc>
      </w:tr>
    </w:tbl>
    <w:p>
      <w:pPr>
        <w:pStyle w:val="Heading1"/>
      </w:pPr>
      <w:r>
        <w:rPr>
          <w:b/>
          <w:bCs/>
          <w:color w:val="0B132B"/>
        </w:rPr>
        <w:t xml:space="preserve">3. A correction uncovered by screening: do-operator semantics</w:t>
      </w:r>
    </w:p>
    <w:p>
      <w:pPr>
        <w:spacing w:after="128" w:line="278"/>
        <w:jc w:val="both"/>
      </w:pPr>
      <w:r>
        <w:rPr>
          <w:sz w:val="21"/>
          <w:szCs w:val="21"/>
        </w:rPr>
        <w:t xml:space="preserve">The first screening run flagged twelve inert predictors. Investigating them revealed that several were not truly inert but were being blocked by an over-eager intervention rule: the scenario engine was fixing every lever at its value, including mediator levers. When a mediator (for example the SRHR family-planning node, which is itself driven by commodity supply and youth services) is held fixed, the causal path from its own parents to the outcome is severed, so those parents appear to have no effect.</w:t>
      </w:r>
    </w:p>
    <w:p>
      <w:pPr>
        <w:spacing w:after="128" w:line="278"/>
        <w:jc w:val="both"/>
      </w:pPr>
      <w:r>
        <w:rPr>
          <w:sz w:val="21"/>
          <w:szCs w:val="21"/>
        </w:rPr>
        <w:t xml:space="preserve">The correct do-operator semantics are to intervene only on the variables the caller actually changes from baseline, leaving unchanged mediators free to respond to their parents. The engine was amended accordingly (analytics/bayesian/model.py). Re-screening then correctly recovered the affected predictors — for example SRHR commodity availability and youth-friendly services — reducing the inert set from twelve to ten and, more importantly, making the remaining verdicts trustworthy.</w:t>
      </w:r>
    </w:p>
    <w:p>
      <w:pPr>
        <w:pStyle w:val="Heading1"/>
      </w:pPr>
      <w:r>
        <w:rPr>
          <w:b/>
          <w:bCs/>
          <w:color w:val="0B132B"/>
        </w:rPr>
        <w:t xml:space="preserve">4. Decisions on the remaining inert variables</w:t>
      </w:r>
    </w:p>
    <w:p>
      <w:pPr>
        <w:spacing w:after="128" w:line="278"/>
        <w:jc w:val="both"/>
      </w:pPr>
      <w:r>
        <w:rPr>
          <w:sz w:val="21"/>
          <w:szCs w:val="21"/>
        </w:rPr>
        <w:t xml:space="preserve">Each of the ten remaining inert predictors was examined and assigned one of three dispositions: removed as redundant with a retained driver; removed for lack of a modelled pathway; or reclassified as a model-linked input rather than a user-adjustable lever. No variable was removed merely because its effect was small — only where it was, as modelled, exactly zero and had a clear structural explanation.</w:t>
      </w:r>
    </w:p>
    <w:tbl>
      <w:tblPr>
        <w:tblW w:type="dxa" w:w="9360"/>
        <w:tblBorders>
          <w:top w:val="single" w:color="334155" w:sz="4"/>
          <w:left w:val="single" w:color="D9E2EC" w:sz="2"/>
          <w:bottom w:val="single" w:color="334155" w:sz="4"/>
          <w:right w:val="single" w:color="D9E2EC" w:sz="2"/>
          <w:insideH w:val="single" w:color="D9E2EC" w:sz="2"/>
          <w:insideV w:val="single" w:color="D9E2EC" w:sz="2"/>
        </w:tblBorders>
      </w:tblPr>
      <w:tblGrid>
        <w:gridCol w:w="1500"/>
        <w:gridCol w:w="2650"/>
        <w:gridCol w:w="5210"/>
      </w:tblGrid>
      <w:tr>
        <w:trPr>
          <w:tblHeader/>
        </w:trPr>
        <w:tc>
          <w:tcPr>
            <w:tcW w:type="dxa" w:w="1500"/>
            <w:shd w:fill="0B132B" w:val="clear"/>
            <w:tcMar>
              <w:top w:type="dxa" w:w="50"/>
              <w:left w:type="dxa" w:w="80"/>
              <w:bottom w:type="dxa" w:w="50"/>
              <w:right w:type="dxa" w:w="80"/>
            </w:tcMar>
          </w:tcPr>
          <w:p>
            <w:pPr>
              <w:spacing w:after="0" w:line="242"/>
            </w:pPr>
            <w:r>
              <w:rPr>
                <w:b/>
                <w:bCs/>
                <w:color w:val="FFFFFF"/>
                <w:sz w:val="17"/>
                <w:szCs w:val="17"/>
              </w:rPr>
              <w:t xml:space="preserve">Domain</w:t>
            </w:r>
          </w:p>
        </w:tc>
        <w:tc>
          <w:tcPr>
            <w:tcW w:type="dxa" w:w="2650"/>
            <w:shd w:fill="0B132B" w:val="clear"/>
            <w:tcMar>
              <w:top w:type="dxa" w:w="50"/>
              <w:left w:type="dxa" w:w="80"/>
              <w:bottom w:type="dxa" w:w="50"/>
              <w:right w:type="dxa" w:w="80"/>
            </w:tcMar>
          </w:tcPr>
          <w:p>
            <w:pPr>
              <w:spacing w:after="0" w:line="242"/>
            </w:pPr>
            <w:r>
              <w:rPr>
                <w:b/>
                <w:bCs/>
                <w:color w:val="FFFFFF"/>
                <w:sz w:val="17"/>
                <w:szCs w:val="17"/>
              </w:rPr>
              <w:t xml:space="preserve">Variable(s)</w:t>
            </w:r>
          </w:p>
        </w:tc>
        <w:tc>
          <w:tcPr>
            <w:tcW w:type="dxa" w:w="5210"/>
            <w:shd w:fill="0B132B" w:val="clear"/>
            <w:tcMar>
              <w:top w:type="dxa" w:w="50"/>
              <w:left w:type="dxa" w:w="80"/>
              <w:bottom w:type="dxa" w:w="50"/>
              <w:right w:type="dxa" w:w="80"/>
            </w:tcMar>
          </w:tcPr>
          <w:p>
            <w:pPr>
              <w:spacing w:after="0" w:line="242"/>
            </w:pPr>
            <w:r>
              <w:rPr>
                <w:b/>
                <w:bCs/>
                <w:color w:val="FFFFFF"/>
                <w:sz w:val="17"/>
                <w:szCs w:val="17"/>
              </w:rPr>
              <w:t xml:space="preserve">Disposition and reason</w:t>
            </w:r>
          </w:p>
        </w:tc>
      </w:tr>
      <w:tr>
        <w:tc>
          <w:tcPr>
            <w:tcW w:type="dxa" w:w="1500"/>
            <w:shd w:fill="FFFFFF" w:val="clear"/>
            <w:tcMar>
              <w:top w:type="dxa" w:w="50"/>
              <w:left w:type="dxa" w:w="80"/>
              <w:bottom w:type="dxa" w:w="50"/>
              <w:right w:type="dxa" w:w="80"/>
            </w:tcMar>
          </w:tcPr>
          <w:p>
            <w:pPr>
              <w:spacing w:after="0" w:line="242"/>
            </w:pPr>
            <w:r>
              <w:rPr>
                <w:b w:val="false"/>
                <w:bCs w:val="false"/>
                <w:sz w:val="17"/>
                <w:szCs w:val="17"/>
              </w:rPr>
              <w:t xml:space="preserve">HIV</w:t>
            </w:r>
          </w:p>
        </w:tc>
        <w:tc>
          <w:tcPr>
            <w:tcW w:type="dxa" w:w="2650"/>
            <w:shd w:fill="FFFFFF" w:val="clear"/>
            <w:tcMar>
              <w:top w:type="dxa" w:w="50"/>
              <w:left w:type="dxa" w:w="80"/>
              <w:bottom w:type="dxa" w:w="50"/>
              <w:right w:type="dxa" w:w="80"/>
            </w:tcMar>
          </w:tcPr>
          <w:p>
            <w:pPr>
              <w:spacing w:after="0" w:line="242"/>
            </w:pPr>
            <w:r>
              <w:rPr>
                <w:b w:val="false"/>
                <w:bCs w:val="false"/>
                <w:sz w:val="17"/>
                <w:szCs w:val="17"/>
              </w:rPr>
              <w:t xml:space="preserve">Know status (1st 95); ART coverage (2nd 95)</w:t>
            </w:r>
          </w:p>
        </w:tc>
        <w:tc>
          <w:tcPr>
            <w:tcW w:type="dxa" w:w="5210"/>
            <w:shd w:fill="FFFFFF" w:val="clear"/>
            <w:tcMar>
              <w:top w:type="dxa" w:w="50"/>
              <w:left w:type="dxa" w:w="80"/>
              <w:bottom w:type="dxa" w:w="50"/>
              <w:right w:type="dxa" w:w="80"/>
            </w:tcMar>
          </w:tcPr>
          <w:p>
            <w:pPr>
              <w:spacing w:after="0" w:line="242"/>
            </w:pPr>
            <w:r>
              <w:rPr>
                <w:b w:val="false"/>
                <w:bCs w:val="false"/>
                <w:sz w:val="17"/>
                <w:szCs w:val="17"/>
              </w:rPr>
              <w:t xml:space="preserve">Removed — redundant. Incidence depends on the population viral-suppression end-point of the cascade, which is retained as a lever; the upstream steps act only through it and have no independent effect.</w:t>
            </w:r>
          </w:p>
        </w:tc>
      </w:tr>
      <w:tr>
        <w:tc>
          <w:tcPr>
            <w:tcW w:type="dxa" w:w="1500"/>
            <w:shd w:fill="EEF2F6" w:val="clear"/>
            <w:tcMar>
              <w:top w:type="dxa" w:w="50"/>
              <w:left w:type="dxa" w:w="80"/>
              <w:bottom w:type="dxa" w:w="50"/>
              <w:right w:type="dxa" w:w="80"/>
            </w:tcMar>
          </w:tcPr>
          <w:p>
            <w:pPr>
              <w:spacing w:after="0" w:line="242"/>
            </w:pPr>
            <w:r>
              <w:rPr>
                <w:b w:val="false"/>
                <w:bCs w:val="false"/>
                <w:sz w:val="17"/>
                <w:szCs w:val="17"/>
              </w:rPr>
              <w:t xml:space="preserve">Malaria</w:t>
            </w:r>
          </w:p>
        </w:tc>
        <w:tc>
          <w:tcPr>
            <w:tcW w:type="dxa" w:w="2650"/>
            <w:shd w:fill="EEF2F6" w:val="clear"/>
            <w:tcMar>
              <w:top w:type="dxa" w:w="50"/>
              <w:left w:type="dxa" w:w="80"/>
              <w:bottom w:type="dxa" w:w="50"/>
              <w:right w:type="dxa" w:w="80"/>
            </w:tcMar>
          </w:tcPr>
          <w:p>
            <w:pPr>
              <w:spacing w:after="0" w:line="242"/>
            </w:pPr>
            <w:r>
              <w:rPr>
                <w:b w:val="false"/>
                <w:bCs w:val="false"/>
                <w:sz w:val="17"/>
                <w:szCs w:val="17"/>
              </w:rPr>
              <w:t xml:space="preserve">Rapid diagnostic tests; Rainfall</w:t>
            </w:r>
          </w:p>
        </w:tc>
        <w:tc>
          <w:tcPr>
            <w:tcW w:type="dxa" w:w="5210"/>
            <w:shd w:fill="EEF2F6" w:val="clear"/>
            <w:tcMar>
              <w:top w:type="dxa" w:w="50"/>
              <w:left w:type="dxa" w:w="80"/>
              <w:bottom w:type="dxa" w:w="50"/>
              <w:right w:type="dxa" w:w="80"/>
            </w:tcMar>
          </w:tcPr>
          <w:p>
            <w:pPr>
              <w:spacing w:after="0" w:line="242"/>
            </w:pPr>
            <w:r>
              <w:rPr>
                <w:b w:val="false"/>
                <w:bCs w:val="false"/>
                <w:sz w:val="17"/>
                <w:szCs w:val="17"/>
              </w:rPr>
              <w:t xml:space="preserve">Removed — no independent pathway. Treatment access is represented by ACT and the climatic shock by floods, both retained; RDT and rainfall added no separate route to incidence.</w:t>
            </w:r>
          </w:p>
        </w:tc>
      </w:tr>
      <w:tr>
        <w:tc>
          <w:tcPr>
            <w:tcW w:type="dxa" w:w="1500"/>
            <w:shd w:fill="FFFFFF" w:val="clear"/>
            <w:tcMar>
              <w:top w:type="dxa" w:w="50"/>
              <w:left w:type="dxa" w:w="80"/>
              <w:bottom w:type="dxa" w:w="50"/>
              <w:right w:type="dxa" w:w="80"/>
            </w:tcMar>
          </w:tcPr>
          <w:p>
            <w:pPr>
              <w:spacing w:after="0" w:line="242"/>
            </w:pPr>
            <w:r>
              <w:rPr>
                <w:b w:val="false"/>
                <w:bCs w:val="false"/>
                <w:sz w:val="17"/>
                <w:szCs w:val="17"/>
              </w:rPr>
              <w:t xml:space="preserve">NCD</w:t>
            </w:r>
          </w:p>
        </w:tc>
        <w:tc>
          <w:tcPr>
            <w:tcW w:type="dxa" w:w="2650"/>
            <w:shd w:fill="FFFFFF" w:val="clear"/>
            <w:tcMar>
              <w:top w:type="dxa" w:w="50"/>
              <w:left w:type="dxa" w:w="80"/>
              <w:bottom w:type="dxa" w:w="50"/>
              <w:right w:type="dxa" w:w="80"/>
            </w:tcMar>
          </w:tcPr>
          <w:p>
            <w:pPr>
              <w:spacing w:after="0" w:line="242"/>
            </w:pPr>
            <w:r>
              <w:rPr>
                <w:b w:val="false"/>
                <w:bCs w:val="false"/>
                <w:sz w:val="17"/>
                <w:szCs w:val="17"/>
              </w:rPr>
              <w:t xml:space="preserve">Digital follow-up</w:t>
            </w:r>
          </w:p>
        </w:tc>
        <w:tc>
          <w:tcPr>
            <w:tcW w:type="dxa" w:w="5210"/>
            <w:shd w:fill="FFFFFF" w:val="clear"/>
            <w:tcMar>
              <w:top w:type="dxa" w:w="50"/>
              <w:left w:type="dxa" w:w="80"/>
              <w:bottom w:type="dxa" w:w="50"/>
              <w:right w:type="dxa" w:w="80"/>
            </w:tcMar>
          </w:tcPr>
          <w:p>
            <w:pPr>
              <w:spacing w:after="0" w:line="242"/>
            </w:pPr>
            <w:r>
              <w:rPr>
                <w:b w:val="false"/>
                <w:bCs w:val="false"/>
                <w:sz w:val="17"/>
                <w:szCs w:val="17"/>
              </w:rPr>
              <w:t xml:space="preserve">Removed — no independent pathway. The digital route to better control is represented by telemedicine (retained).</w:t>
            </w:r>
          </w:p>
        </w:tc>
      </w:tr>
      <w:tr>
        <w:tc>
          <w:tcPr>
            <w:tcW w:type="dxa" w:w="1500"/>
            <w:shd w:fill="EEF2F6" w:val="clear"/>
            <w:tcMar>
              <w:top w:type="dxa" w:w="50"/>
              <w:left w:type="dxa" w:w="80"/>
              <w:bottom w:type="dxa" w:w="50"/>
              <w:right w:type="dxa" w:w="80"/>
            </w:tcMar>
          </w:tcPr>
          <w:p>
            <w:pPr>
              <w:spacing w:after="0" w:line="242"/>
            </w:pPr>
            <w:r>
              <w:rPr>
                <w:b w:val="false"/>
                <w:bCs w:val="false"/>
                <w:sz w:val="17"/>
                <w:szCs w:val="17"/>
              </w:rPr>
              <w:t xml:space="preserve">RHIS</w:t>
            </w:r>
          </w:p>
        </w:tc>
        <w:tc>
          <w:tcPr>
            <w:tcW w:type="dxa" w:w="2650"/>
            <w:shd w:fill="EEF2F6" w:val="clear"/>
            <w:tcMar>
              <w:top w:type="dxa" w:w="50"/>
              <w:left w:type="dxa" w:w="80"/>
              <w:bottom w:type="dxa" w:w="50"/>
              <w:right w:type="dxa" w:w="80"/>
            </w:tcMar>
          </w:tcPr>
          <w:p>
            <w:pPr>
              <w:spacing w:after="0" w:line="242"/>
            </w:pPr>
            <w:r>
              <w:rPr>
                <w:b w:val="false"/>
                <w:bCs w:val="false"/>
                <w:sz w:val="17"/>
                <w:szCs w:val="17"/>
              </w:rPr>
              <w:t xml:space="preserve">Population surveys</w:t>
            </w:r>
          </w:p>
        </w:tc>
        <w:tc>
          <w:tcPr>
            <w:tcW w:type="dxa" w:w="5210"/>
            <w:shd w:fill="EEF2F6" w:val="clear"/>
            <w:tcMar>
              <w:top w:type="dxa" w:w="50"/>
              <w:left w:type="dxa" w:w="80"/>
              <w:bottom w:type="dxa" w:w="50"/>
              <w:right w:type="dxa" w:w="80"/>
            </w:tcMar>
          </w:tcPr>
          <w:p>
            <w:pPr>
              <w:spacing w:after="0" w:line="242"/>
            </w:pPr>
            <w:r>
              <w:rPr>
                <w:b w:val="false"/>
                <w:bCs w:val="false"/>
                <w:sz w:val="17"/>
                <w:szCs w:val="17"/>
              </w:rPr>
              <w:t xml:space="preserve">Removed — out of scope for the index. It is a data source, not one of the assessed maturity sub-domains that compose the maturity index.</w:t>
            </w:r>
          </w:p>
        </w:tc>
      </w:tr>
      <w:tr>
        <w:tc>
          <w:tcPr>
            <w:tcW w:type="dxa" w:w="1500"/>
            <w:shd w:fill="FFFFFF" w:val="clear"/>
            <w:tcMar>
              <w:top w:type="dxa" w:w="50"/>
              <w:left w:type="dxa" w:w="80"/>
              <w:bottom w:type="dxa" w:w="50"/>
              <w:right w:type="dxa" w:w="80"/>
            </w:tcMar>
          </w:tcPr>
          <w:p>
            <w:pPr>
              <w:spacing w:after="0" w:line="242"/>
            </w:pPr>
            <w:r>
              <w:rPr>
                <w:b w:val="false"/>
                <w:bCs w:val="false"/>
                <w:sz w:val="17"/>
                <w:szCs w:val="17"/>
              </w:rPr>
              <w:t xml:space="preserve">SRHR</w:t>
            </w:r>
          </w:p>
        </w:tc>
        <w:tc>
          <w:tcPr>
            <w:tcW w:type="dxa" w:w="2650"/>
            <w:shd w:fill="FFFFFF" w:val="clear"/>
            <w:tcMar>
              <w:top w:type="dxa" w:w="50"/>
              <w:left w:type="dxa" w:w="80"/>
              <w:bottom w:type="dxa" w:w="50"/>
              <w:right w:type="dxa" w:w="80"/>
            </w:tcMar>
          </w:tcPr>
          <w:p>
            <w:pPr>
              <w:spacing w:after="0" w:line="242"/>
            </w:pPr>
            <w:r>
              <w:rPr>
                <w:b w:val="false"/>
                <w:bCs w:val="false"/>
                <w:sz w:val="17"/>
                <w:szCs w:val="17"/>
              </w:rPr>
              <w:t xml:space="preserve">Facility delivery; PMTCT; Digital SRHR services</w:t>
            </w:r>
          </w:p>
        </w:tc>
        <w:tc>
          <w:tcPr>
            <w:tcW w:type="dxa" w:w="5210"/>
            <w:shd w:fill="FFFFFF" w:val="clear"/>
            <w:tcMar>
              <w:top w:type="dxa" w:w="50"/>
              <w:left w:type="dxa" w:w="80"/>
              <w:bottom w:type="dxa" w:w="50"/>
              <w:right w:type="dxa" w:w="80"/>
            </w:tcMar>
          </w:tcPr>
          <w:p>
            <w:pPr>
              <w:spacing w:after="0" w:line="242"/>
            </w:pPr>
            <w:r>
              <w:rPr>
                <w:b w:val="false"/>
                <w:bCs w:val="false"/>
                <w:sz w:val="17"/>
                <w:szCs w:val="17"/>
              </w:rPr>
              <w:t xml:space="preserve">Removed — not parents of the coverage index in the current DAG, which is driven by family planning, ANC, skilled attendance, GBV services, education and the structural risk factors.</w:t>
            </w:r>
          </w:p>
        </w:tc>
      </w:tr>
      <w:tr>
        <w:tc>
          <w:tcPr>
            <w:tcW w:type="dxa" w:w="1500"/>
            <w:shd w:fill="EEF2F6" w:val="clear"/>
            <w:tcMar>
              <w:top w:type="dxa" w:w="50"/>
              <w:left w:type="dxa" w:w="80"/>
              <w:bottom w:type="dxa" w:w="50"/>
              <w:right w:type="dxa" w:w="80"/>
            </w:tcMar>
          </w:tcPr>
          <w:p>
            <w:pPr>
              <w:spacing w:after="0" w:line="242"/>
            </w:pPr>
            <w:r>
              <w:rPr>
                <w:b w:val="false"/>
                <w:bCs w:val="false"/>
                <w:sz w:val="17"/>
                <w:szCs w:val="17"/>
              </w:rPr>
              <w:t xml:space="preserve">SDG 3</w:t>
            </w:r>
          </w:p>
        </w:tc>
        <w:tc>
          <w:tcPr>
            <w:tcW w:type="dxa" w:w="2650"/>
            <w:shd w:fill="EEF2F6" w:val="clear"/>
            <w:tcMar>
              <w:top w:type="dxa" w:w="50"/>
              <w:left w:type="dxa" w:w="80"/>
              <w:bottom w:type="dxa" w:w="50"/>
              <w:right w:type="dxa" w:w="80"/>
            </w:tcMar>
          </w:tcPr>
          <w:p>
            <w:pPr>
              <w:spacing w:after="0" w:line="242"/>
            </w:pPr>
            <w:r>
              <w:rPr>
                <w:b w:val="false"/>
                <w:bCs w:val="false"/>
                <w:sz w:val="17"/>
                <w:szCs w:val="17"/>
              </w:rPr>
              <w:t xml:space="preserve">MMR, U5MR, neonatal mortality, HIV, TB, malaria, NCD</w:t>
            </w:r>
          </w:p>
        </w:tc>
        <w:tc>
          <w:tcPr>
            <w:tcW w:type="dxa" w:w="5210"/>
            <w:shd w:fill="EEF2F6" w:val="clear"/>
            <w:tcMar>
              <w:top w:type="dxa" w:w="50"/>
              <w:left w:type="dxa" w:w="80"/>
              <w:bottom w:type="dxa" w:w="50"/>
              <w:right w:type="dxa" w:w="80"/>
            </w:tcMar>
          </w:tcPr>
          <w:p>
            <w:pPr>
              <w:spacing w:after="0" w:line="242"/>
            </w:pPr>
            <w:r>
              <w:rPr>
                <w:b w:val="false"/>
                <w:bCs w:val="false"/>
                <w:sz w:val="17"/>
                <w:szCs w:val="17"/>
              </w:rPr>
              <w:t xml:space="preserve">Reclassified — model-linked inputs. These are outputs of the disease-specific modules that feed the integrating node; they remain nodes in the SDG 3 network but are removed from the adjustable lever set, since they are supplied by their own modules rather than set on a slider.</w:t>
            </w:r>
          </w:p>
        </w:tc>
      </w:tr>
    </w:tbl>
    <w:p>
      <w:pPr>
        <w:pStyle w:val="Heading1"/>
      </w:pPr>
      <w:r>
        <w:rPr>
          <w:b/>
          <w:bCs/>
          <w:color w:val="0B132B"/>
        </w:rPr>
        <w:t xml:space="preserve">5. Final variable set</w:t>
      </w:r>
    </w:p>
    <w:p>
      <w:pPr>
        <w:spacing w:after="128" w:line="278"/>
        <w:jc w:val="both"/>
      </w:pPr>
      <w:r>
        <w:rPr>
          <w:sz w:val="21"/>
          <w:szCs w:val="21"/>
        </w:rPr>
        <w:t xml:space="preserve">After the correction and the decisions above, a final screening run confirms that every retained adjustable variable moves its outcome (zero inert across all 251 screened variables). The constituent-outcome inputs reclassified for SDG 3 remain wired into the network, so no causal information is lost; they are simply no longer presented as sliders. The effective adjustable-variable count per module is:</w:t>
      </w:r>
    </w:p>
    <w:tbl>
      <w:tblPr>
        <w:tblW w:type="dxa" w:w="9360"/>
        <w:tblBorders>
          <w:top w:val="single" w:color="334155" w:sz="4"/>
          <w:left w:val="single" w:color="D9E2EC" w:sz="2"/>
          <w:bottom w:val="single" w:color="334155" w:sz="4"/>
          <w:right w:val="single" w:color="D9E2EC" w:sz="2"/>
          <w:insideH w:val="single" w:color="D9E2EC" w:sz="2"/>
          <w:insideV w:val="single" w:color="D9E2EC" w:sz="2"/>
        </w:tblBorders>
      </w:tblPr>
      <w:tblGrid>
        <w:gridCol w:w="3400"/>
        <w:gridCol w:w="1600"/>
        <w:gridCol w:w="4360"/>
      </w:tblGrid>
      <w:tr>
        <w:trPr>
          <w:tblHeader/>
        </w:trPr>
        <w:tc>
          <w:tcPr>
            <w:tcW w:type="dxa" w:w="3400"/>
            <w:shd w:fill="0B132B" w:val="clear"/>
            <w:tcMar>
              <w:top w:type="dxa" w:w="50"/>
              <w:left w:type="dxa" w:w="80"/>
              <w:bottom w:type="dxa" w:w="50"/>
              <w:right w:type="dxa" w:w="80"/>
            </w:tcMar>
          </w:tcPr>
          <w:p>
            <w:pPr>
              <w:spacing w:after="0" w:line="242"/>
            </w:pPr>
            <w:r>
              <w:rPr>
                <w:b/>
                <w:bCs/>
                <w:color w:val="FFFFFF"/>
                <w:sz w:val="17"/>
                <w:szCs w:val="17"/>
              </w:rPr>
              <w:t xml:space="preserve">Module</w:t>
            </w:r>
          </w:p>
        </w:tc>
        <w:tc>
          <w:tcPr>
            <w:tcW w:type="dxa" w:w="1600"/>
            <w:shd w:fill="0B132B" w:val="clear"/>
            <w:tcMar>
              <w:top w:type="dxa" w:w="50"/>
              <w:left w:type="dxa" w:w="80"/>
              <w:bottom w:type="dxa" w:w="50"/>
              <w:right w:type="dxa" w:w="80"/>
            </w:tcMar>
          </w:tcPr>
          <w:p>
            <w:pPr>
              <w:spacing w:after="0" w:line="242"/>
            </w:pPr>
            <w:r>
              <w:rPr>
                <w:b/>
                <w:bCs/>
                <w:color w:val="FFFFFF"/>
                <w:sz w:val="17"/>
                <w:szCs w:val="17"/>
              </w:rPr>
              <w:t xml:space="preserve">Effective variables</w:t>
            </w:r>
          </w:p>
        </w:tc>
        <w:tc>
          <w:tcPr>
            <w:tcW w:type="dxa" w:w="4360"/>
            <w:shd w:fill="0B132B" w:val="clear"/>
            <w:tcMar>
              <w:top w:type="dxa" w:w="50"/>
              <w:left w:type="dxa" w:w="80"/>
              <w:bottom w:type="dxa" w:w="50"/>
              <w:right w:type="dxa" w:w="80"/>
            </w:tcMar>
          </w:tcPr>
          <w:p>
            <w:pPr>
              <w:spacing w:after="0" w:line="242"/>
            </w:pPr>
            <w:r>
              <w:rPr>
                <w:b/>
                <w:bCs/>
                <w:color w:val="FFFFFF"/>
                <w:sz w:val="17"/>
                <w:szCs w:val="17"/>
              </w:rPr>
              <w:t xml:space="preserve">Note</w:t>
            </w:r>
          </w:p>
        </w:tc>
      </w:tr>
      <w:tr>
        <w:tc>
          <w:tcPr>
            <w:tcW w:type="dxa" w:w="3400"/>
            <w:shd w:fill="FFFFFF" w:val="clear"/>
            <w:tcMar>
              <w:top w:type="dxa" w:w="50"/>
              <w:left w:type="dxa" w:w="80"/>
              <w:bottom w:type="dxa" w:w="50"/>
              <w:right w:type="dxa" w:w="80"/>
            </w:tcMar>
          </w:tcPr>
          <w:p>
            <w:pPr>
              <w:spacing w:after="0" w:line="242"/>
            </w:pPr>
            <w:r>
              <w:rPr>
                <w:b w:val="false"/>
                <w:bCs w:val="false"/>
                <w:sz w:val="17"/>
                <w:szCs w:val="17"/>
              </w:rPr>
              <w:t xml:space="preserve">Universal Health Coverage</w:t>
            </w:r>
          </w:p>
        </w:tc>
        <w:tc>
          <w:tcPr>
            <w:tcW w:type="dxa" w:w="1600"/>
            <w:shd w:fill="FFFFFF" w:val="clear"/>
            <w:tcMar>
              <w:top w:type="dxa" w:w="50"/>
              <w:left w:type="dxa" w:w="80"/>
              <w:bottom w:type="dxa" w:w="50"/>
              <w:right w:type="dxa" w:w="80"/>
            </w:tcMar>
          </w:tcPr>
          <w:p>
            <w:pPr>
              <w:spacing w:after="0" w:line="242"/>
            </w:pPr>
            <w:r>
              <w:rPr>
                <w:b w:val="false"/>
                <w:bCs w:val="false"/>
                <w:sz w:val="17"/>
                <w:szCs w:val="17"/>
              </w:rPr>
              <w:t xml:space="preserve">44</w:t>
            </w:r>
          </w:p>
        </w:tc>
        <w:tc>
          <w:tcPr>
            <w:tcW w:type="dxa" w:w="4360"/>
            <w:shd w:fill="FFFFFF" w:val="clear"/>
            <w:tcMar>
              <w:top w:type="dxa" w:w="50"/>
              <w:left w:type="dxa" w:w="80"/>
              <w:bottom w:type="dxa" w:w="50"/>
              <w:right w:type="dxa" w:w="80"/>
            </w:tcMar>
          </w:tcPr>
          <w:p>
            <w:pPr>
              <w:spacing w:after="0" w:line="242"/>
            </w:pPr>
            <w:r>
              <w:rPr>
                <w:b w:val="false"/>
                <w:bCs w:val="false"/>
                <w:sz w:val="17"/>
                <w:szCs w:val="17"/>
              </w:rPr>
              <w:t xml:space="preserve">full service-coverage, readiness, financing, medicines, digital, governance, population set</w:t>
            </w:r>
          </w:p>
        </w:tc>
      </w:tr>
      <w:tr>
        <w:tc>
          <w:tcPr>
            <w:tcW w:type="dxa" w:w="3400"/>
            <w:shd w:fill="EEF2F6" w:val="clear"/>
            <w:tcMar>
              <w:top w:type="dxa" w:w="50"/>
              <w:left w:type="dxa" w:w="80"/>
              <w:bottom w:type="dxa" w:w="50"/>
              <w:right w:type="dxa" w:w="80"/>
            </w:tcMar>
          </w:tcPr>
          <w:p>
            <w:pPr>
              <w:spacing w:after="0" w:line="242"/>
            </w:pPr>
            <w:r>
              <w:rPr>
                <w:b w:val="false"/>
                <w:bCs w:val="false"/>
                <w:sz w:val="17"/>
                <w:szCs w:val="17"/>
              </w:rPr>
              <w:t xml:space="preserve">HIV</w:t>
            </w:r>
          </w:p>
        </w:tc>
        <w:tc>
          <w:tcPr>
            <w:tcW w:type="dxa" w:w="1600"/>
            <w:shd w:fill="EEF2F6" w:val="clear"/>
            <w:tcMar>
              <w:top w:type="dxa" w:w="50"/>
              <w:left w:type="dxa" w:w="80"/>
              <w:bottom w:type="dxa" w:w="50"/>
              <w:right w:type="dxa" w:w="80"/>
            </w:tcMar>
          </w:tcPr>
          <w:p>
            <w:pPr>
              <w:spacing w:after="0" w:line="242"/>
            </w:pPr>
            <w:r>
              <w:rPr>
                <w:b w:val="false"/>
                <w:bCs w:val="false"/>
                <w:sz w:val="17"/>
                <w:szCs w:val="17"/>
              </w:rPr>
              <w:t xml:space="preserve">41</w:t>
            </w:r>
          </w:p>
        </w:tc>
        <w:tc>
          <w:tcPr>
            <w:tcW w:type="dxa" w:w="4360"/>
            <w:shd w:fill="EEF2F6" w:val="clear"/>
            <w:tcMar>
              <w:top w:type="dxa" w:w="50"/>
              <w:left w:type="dxa" w:w="80"/>
              <w:bottom w:type="dxa" w:w="50"/>
              <w:right w:type="dxa" w:w="80"/>
            </w:tcMar>
          </w:tcPr>
          <w:p>
            <w:pPr>
              <w:spacing w:after="0" w:line="242"/>
            </w:pPr>
            <w:r>
              <w:rPr>
                <w:b w:val="false"/>
                <w:bCs w:val="false"/>
                <w:sz w:val="17"/>
                <w:szCs w:val="17"/>
              </w:rPr>
              <w:t xml:space="preserve">combination prevention, cascade end-point, system, structural and shock determinants</w:t>
            </w:r>
          </w:p>
        </w:tc>
      </w:tr>
      <w:tr>
        <w:tc>
          <w:tcPr>
            <w:tcW w:type="dxa" w:w="3400"/>
            <w:shd w:fill="FFFFFF" w:val="clear"/>
            <w:tcMar>
              <w:top w:type="dxa" w:w="50"/>
              <w:left w:type="dxa" w:w="80"/>
              <w:bottom w:type="dxa" w:w="50"/>
              <w:right w:type="dxa" w:w="80"/>
            </w:tcMar>
          </w:tcPr>
          <w:p>
            <w:pPr>
              <w:spacing w:after="0" w:line="242"/>
            </w:pPr>
            <w:r>
              <w:rPr>
                <w:b w:val="false"/>
                <w:bCs w:val="false"/>
                <w:sz w:val="17"/>
                <w:szCs w:val="17"/>
              </w:rPr>
              <w:t xml:space="preserve">Maternal mortality</w:t>
            </w:r>
          </w:p>
        </w:tc>
        <w:tc>
          <w:tcPr>
            <w:tcW w:type="dxa" w:w="1600"/>
            <w:shd w:fill="FFFFFF" w:val="clear"/>
            <w:tcMar>
              <w:top w:type="dxa" w:w="50"/>
              <w:left w:type="dxa" w:w="80"/>
              <w:bottom w:type="dxa" w:w="50"/>
              <w:right w:type="dxa" w:w="80"/>
            </w:tcMar>
          </w:tcPr>
          <w:p>
            <w:pPr>
              <w:spacing w:after="0" w:line="242"/>
            </w:pPr>
            <w:r>
              <w:rPr>
                <w:b w:val="false"/>
                <w:bCs w:val="false"/>
                <w:sz w:val="17"/>
                <w:szCs w:val="17"/>
              </w:rPr>
              <w:t xml:space="preserve">35</w:t>
            </w:r>
          </w:p>
        </w:tc>
        <w:tc>
          <w:tcPr>
            <w:tcW w:type="dxa" w:w="4360"/>
            <w:shd w:fill="FFFFFF" w:val="clear"/>
            <w:tcMar>
              <w:top w:type="dxa" w:w="50"/>
              <w:left w:type="dxa" w:w="80"/>
              <w:bottom w:type="dxa" w:w="50"/>
              <w:right w:type="dxa" w:w="80"/>
            </w:tcMar>
          </w:tcPr>
          <w:p>
            <w:pPr>
              <w:spacing w:after="0" w:line="242"/>
            </w:pPr>
            <w:r>
              <w:rPr>
                <w:b w:val="false"/>
                <w:bCs w:val="false"/>
                <w:sz w:val="17"/>
                <w:szCs w:val="17"/>
              </w:rPr>
              <w:t xml:space="preserve">continuum of care, reproductive, disease, structural, infrastructure, governance, shocks</w:t>
            </w:r>
          </w:p>
        </w:tc>
      </w:tr>
      <w:tr>
        <w:tc>
          <w:tcPr>
            <w:tcW w:type="dxa" w:w="3400"/>
            <w:shd w:fill="EEF2F6" w:val="clear"/>
            <w:tcMar>
              <w:top w:type="dxa" w:w="50"/>
              <w:left w:type="dxa" w:w="80"/>
              <w:bottom w:type="dxa" w:w="50"/>
              <w:right w:type="dxa" w:w="80"/>
            </w:tcMar>
          </w:tcPr>
          <w:p>
            <w:pPr>
              <w:spacing w:after="0" w:line="242"/>
            </w:pPr>
            <w:r>
              <w:rPr>
                <w:b w:val="false"/>
                <w:bCs w:val="false"/>
                <w:sz w:val="17"/>
                <w:szCs w:val="17"/>
              </w:rPr>
              <w:t xml:space="preserve">Under-five mortality</w:t>
            </w:r>
          </w:p>
        </w:tc>
        <w:tc>
          <w:tcPr>
            <w:tcW w:type="dxa" w:w="1600"/>
            <w:shd w:fill="EEF2F6" w:val="clear"/>
            <w:tcMar>
              <w:top w:type="dxa" w:w="50"/>
              <w:left w:type="dxa" w:w="80"/>
              <w:bottom w:type="dxa" w:w="50"/>
              <w:right w:type="dxa" w:w="80"/>
            </w:tcMar>
          </w:tcPr>
          <w:p>
            <w:pPr>
              <w:spacing w:after="0" w:line="242"/>
            </w:pPr>
            <w:r>
              <w:rPr>
                <w:b w:val="false"/>
                <w:bCs w:val="false"/>
                <w:sz w:val="17"/>
                <w:szCs w:val="17"/>
              </w:rPr>
              <w:t xml:space="preserve">20</w:t>
            </w:r>
          </w:p>
        </w:tc>
        <w:tc>
          <w:tcPr>
            <w:tcW w:type="dxa" w:w="4360"/>
            <w:shd w:fill="EEF2F6" w:val="clear"/>
            <w:tcMar>
              <w:top w:type="dxa" w:w="50"/>
              <w:left w:type="dxa" w:w="80"/>
              <w:bottom w:type="dxa" w:w="50"/>
              <w:right w:type="dxa" w:w="80"/>
            </w:tcMar>
          </w:tcPr>
          <w:p>
            <w:pPr>
              <w:spacing w:after="0" w:line="242"/>
            </w:pPr>
            <w:r>
              <w:rPr>
                <w:b w:val="false"/>
                <w:bCs w:val="false"/>
                <w:sz w:val="17"/>
                <w:szCs w:val="17"/>
              </w:rPr>
              <w:t xml:space="preserve">neonatal + child interventions and shared determinants</w:t>
            </w:r>
          </w:p>
        </w:tc>
      </w:tr>
      <w:tr>
        <w:tc>
          <w:tcPr>
            <w:tcW w:type="dxa" w:w="3400"/>
            <w:shd w:fill="FFFFFF" w:val="clear"/>
            <w:tcMar>
              <w:top w:type="dxa" w:w="50"/>
              <w:left w:type="dxa" w:w="80"/>
              <w:bottom w:type="dxa" w:w="50"/>
              <w:right w:type="dxa" w:w="80"/>
            </w:tcMar>
          </w:tcPr>
          <w:p>
            <w:pPr>
              <w:spacing w:after="0" w:line="242"/>
            </w:pPr>
            <w:r>
              <w:rPr>
                <w:b w:val="false"/>
                <w:bCs w:val="false"/>
                <w:sz w:val="17"/>
                <w:szCs w:val="17"/>
              </w:rPr>
              <w:t xml:space="preserve">Child mortality (1–59 mo)</w:t>
            </w:r>
          </w:p>
        </w:tc>
        <w:tc>
          <w:tcPr>
            <w:tcW w:type="dxa" w:w="1600"/>
            <w:shd w:fill="FFFFFF" w:val="clear"/>
            <w:tcMar>
              <w:top w:type="dxa" w:w="50"/>
              <w:left w:type="dxa" w:w="80"/>
              <w:bottom w:type="dxa" w:w="50"/>
              <w:right w:type="dxa" w:w="80"/>
            </w:tcMar>
          </w:tcPr>
          <w:p>
            <w:pPr>
              <w:spacing w:after="0" w:line="242"/>
            </w:pPr>
            <w:r>
              <w:rPr>
                <w:b w:val="false"/>
                <w:bCs w:val="false"/>
                <w:sz w:val="17"/>
                <w:szCs w:val="17"/>
              </w:rPr>
              <w:t xml:space="preserve">19</w:t>
            </w:r>
          </w:p>
        </w:tc>
        <w:tc>
          <w:tcPr>
            <w:tcW w:type="dxa" w:w="4360"/>
            <w:shd w:fill="FFFFFF" w:val="clear"/>
            <w:tcMar>
              <w:top w:type="dxa" w:w="50"/>
              <w:left w:type="dxa" w:w="80"/>
              <w:bottom w:type="dxa" w:w="50"/>
              <w:right w:type="dxa" w:w="80"/>
            </w:tcMar>
          </w:tcPr>
          <w:p>
            <w:pPr>
              <w:spacing w:after="0" w:line="242"/>
            </w:pPr>
            <w:r>
              <w:rPr>
                <w:b w:val="false"/>
                <w:bCs w:val="false"/>
                <w:sz w:val="17"/>
                <w:szCs w:val="17"/>
              </w:rPr>
              <w:t xml:space="preserve">immunisation, case-management, nutrition, WASH, structural</w:t>
            </w:r>
          </w:p>
        </w:tc>
      </w:tr>
      <w:tr>
        <w:tc>
          <w:tcPr>
            <w:tcW w:type="dxa" w:w="3400"/>
            <w:shd w:fill="EEF2F6" w:val="clear"/>
            <w:tcMar>
              <w:top w:type="dxa" w:w="50"/>
              <w:left w:type="dxa" w:w="80"/>
              <w:bottom w:type="dxa" w:w="50"/>
              <w:right w:type="dxa" w:w="80"/>
            </w:tcMar>
          </w:tcPr>
          <w:p>
            <w:pPr>
              <w:spacing w:after="0" w:line="242"/>
            </w:pPr>
            <w:r>
              <w:rPr>
                <w:b w:val="false"/>
                <w:bCs w:val="false"/>
                <w:sz w:val="17"/>
                <w:szCs w:val="17"/>
              </w:rPr>
              <w:t xml:space="preserve">Neonatal mortality</w:t>
            </w:r>
          </w:p>
        </w:tc>
        <w:tc>
          <w:tcPr>
            <w:tcW w:type="dxa" w:w="1600"/>
            <w:shd w:fill="EEF2F6" w:val="clear"/>
            <w:tcMar>
              <w:top w:type="dxa" w:w="50"/>
              <w:left w:type="dxa" w:w="80"/>
              <w:bottom w:type="dxa" w:w="50"/>
              <w:right w:type="dxa" w:w="80"/>
            </w:tcMar>
          </w:tcPr>
          <w:p>
            <w:pPr>
              <w:spacing w:after="0" w:line="242"/>
            </w:pPr>
            <w:r>
              <w:rPr>
                <w:b w:val="false"/>
                <w:bCs w:val="false"/>
                <w:sz w:val="17"/>
                <w:szCs w:val="17"/>
              </w:rPr>
              <w:t xml:space="preserve">17</w:t>
            </w:r>
          </w:p>
        </w:tc>
        <w:tc>
          <w:tcPr>
            <w:tcW w:type="dxa" w:w="4360"/>
            <w:shd w:fill="EEF2F6" w:val="clear"/>
            <w:tcMar>
              <w:top w:type="dxa" w:w="50"/>
              <w:left w:type="dxa" w:w="80"/>
              <w:bottom w:type="dxa" w:w="50"/>
              <w:right w:type="dxa" w:w="80"/>
            </w:tcMar>
          </w:tcPr>
          <w:p>
            <w:pPr>
              <w:spacing w:after="0" w:line="242"/>
            </w:pPr>
            <w:r>
              <w:rPr>
                <w:b w:val="false"/>
                <w:bCs w:val="false"/>
                <w:sz w:val="17"/>
                <w:szCs w:val="17"/>
              </w:rPr>
              <w:t xml:space="preserve">newborn-care interventions and enabling inputs</w:t>
            </w:r>
          </w:p>
        </w:tc>
      </w:tr>
      <w:tr>
        <w:tc>
          <w:tcPr>
            <w:tcW w:type="dxa" w:w="3400"/>
            <w:shd w:fill="FFFFFF" w:val="clear"/>
            <w:tcMar>
              <w:top w:type="dxa" w:w="50"/>
              <w:left w:type="dxa" w:w="80"/>
              <w:bottom w:type="dxa" w:w="50"/>
              <w:right w:type="dxa" w:w="80"/>
            </w:tcMar>
          </w:tcPr>
          <w:p>
            <w:pPr>
              <w:spacing w:after="0" w:line="242"/>
            </w:pPr>
            <w:r>
              <w:rPr>
                <w:b w:val="false"/>
                <w:bCs w:val="false"/>
                <w:sz w:val="17"/>
                <w:szCs w:val="17"/>
              </w:rPr>
              <w:t xml:space="preserve">Tuberculosis</w:t>
            </w:r>
          </w:p>
        </w:tc>
        <w:tc>
          <w:tcPr>
            <w:tcW w:type="dxa" w:w="1600"/>
            <w:shd w:fill="FFFFFF" w:val="clear"/>
            <w:tcMar>
              <w:top w:type="dxa" w:w="50"/>
              <w:left w:type="dxa" w:w="80"/>
              <w:bottom w:type="dxa" w:w="50"/>
              <w:right w:type="dxa" w:w="80"/>
            </w:tcMar>
          </w:tcPr>
          <w:p>
            <w:pPr>
              <w:spacing w:after="0" w:line="242"/>
            </w:pPr>
            <w:r>
              <w:rPr>
                <w:b w:val="false"/>
                <w:bCs w:val="false"/>
                <w:sz w:val="17"/>
                <w:szCs w:val="17"/>
              </w:rPr>
              <w:t xml:space="preserve">16</w:t>
            </w:r>
          </w:p>
        </w:tc>
        <w:tc>
          <w:tcPr>
            <w:tcW w:type="dxa" w:w="4360"/>
            <w:shd w:fill="FFFFFF" w:val="clear"/>
            <w:tcMar>
              <w:top w:type="dxa" w:w="50"/>
              <w:left w:type="dxa" w:w="80"/>
              <w:bottom w:type="dxa" w:w="50"/>
              <w:right w:type="dxa" w:w="80"/>
            </w:tcMar>
          </w:tcPr>
          <w:p>
            <w:pPr>
              <w:spacing w:after="0" w:line="242"/>
            </w:pPr>
            <w:r>
              <w:rPr>
                <w:b w:val="false"/>
                <w:bCs w:val="false"/>
                <w:sz w:val="17"/>
                <w:szCs w:val="17"/>
              </w:rPr>
              <w:t xml:space="preserve">find-treat-cure cascade, risk factors, system</w:t>
            </w:r>
          </w:p>
        </w:tc>
      </w:tr>
      <w:tr>
        <w:tc>
          <w:tcPr>
            <w:tcW w:type="dxa" w:w="3400"/>
            <w:shd w:fill="EEF2F6" w:val="clear"/>
            <w:tcMar>
              <w:top w:type="dxa" w:w="50"/>
              <w:left w:type="dxa" w:w="80"/>
              <w:bottom w:type="dxa" w:w="50"/>
              <w:right w:type="dxa" w:w="80"/>
            </w:tcMar>
          </w:tcPr>
          <w:p>
            <w:pPr>
              <w:spacing w:after="0" w:line="242"/>
            </w:pPr>
            <w:r>
              <w:rPr>
                <w:b w:val="false"/>
                <w:bCs w:val="false"/>
                <w:sz w:val="17"/>
                <w:szCs w:val="17"/>
              </w:rPr>
              <w:t xml:space="preserve">Malaria</w:t>
            </w:r>
          </w:p>
        </w:tc>
        <w:tc>
          <w:tcPr>
            <w:tcW w:type="dxa" w:w="1600"/>
            <w:shd w:fill="EEF2F6" w:val="clear"/>
            <w:tcMar>
              <w:top w:type="dxa" w:w="50"/>
              <w:left w:type="dxa" w:w="80"/>
              <w:bottom w:type="dxa" w:w="50"/>
              <w:right w:type="dxa" w:w="80"/>
            </w:tcMar>
          </w:tcPr>
          <w:p>
            <w:pPr>
              <w:spacing w:after="0" w:line="242"/>
            </w:pPr>
            <w:r>
              <w:rPr>
                <w:b w:val="false"/>
                <w:bCs w:val="false"/>
                <w:sz w:val="17"/>
                <w:szCs w:val="17"/>
              </w:rPr>
              <w:t xml:space="preserve">15</w:t>
            </w:r>
          </w:p>
        </w:tc>
        <w:tc>
          <w:tcPr>
            <w:tcW w:type="dxa" w:w="4360"/>
            <w:shd w:fill="EEF2F6" w:val="clear"/>
            <w:tcMar>
              <w:top w:type="dxa" w:w="50"/>
              <w:left w:type="dxa" w:w="80"/>
              <w:bottom w:type="dxa" w:w="50"/>
              <w:right w:type="dxa" w:w="80"/>
            </w:tcMar>
          </w:tcPr>
          <w:p>
            <w:pPr>
              <w:spacing w:after="0" w:line="242"/>
            </w:pPr>
            <w:r>
              <w:rPr>
                <w:b w:val="false"/>
                <w:bCs w:val="false"/>
                <w:sz w:val="17"/>
                <w:szCs w:val="17"/>
              </w:rPr>
              <w:t xml:space="preserve">vector control, treatment, environment/shock, system</w:t>
            </w:r>
          </w:p>
        </w:tc>
      </w:tr>
      <w:tr>
        <w:tc>
          <w:tcPr>
            <w:tcW w:type="dxa" w:w="3400"/>
            <w:shd w:fill="FFFFFF" w:val="clear"/>
            <w:tcMar>
              <w:top w:type="dxa" w:w="50"/>
              <w:left w:type="dxa" w:w="80"/>
              <w:bottom w:type="dxa" w:w="50"/>
              <w:right w:type="dxa" w:w="80"/>
            </w:tcMar>
          </w:tcPr>
          <w:p>
            <w:pPr>
              <w:spacing w:after="0" w:line="242"/>
            </w:pPr>
            <w:r>
              <w:rPr>
                <w:b w:val="false"/>
                <w:bCs w:val="false"/>
                <w:sz w:val="17"/>
                <w:szCs w:val="17"/>
              </w:rPr>
              <w:t xml:space="preserve">Non-communicable diseases</w:t>
            </w:r>
          </w:p>
        </w:tc>
        <w:tc>
          <w:tcPr>
            <w:tcW w:type="dxa" w:w="1600"/>
            <w:shd w:fill="FFFFFF" w:val="clear"/>
            <w:tcMar>
              <w:top w:type="dxa" w:w="50"/>
              <w:left w:type="dxa" w:w="80"/>
              <w:bottom w:type="dxa" w:w="50"/>
              <w:right w:type="dxa" w:w="80"/>
            </w:tcMar>
          </w:tcPr>
          <w:p>
            <w:pPr>
              <w:spacing w:after="0" w:line="242"/>
            </w:pPr>
            <w:r>
              <w:rPr>
                <w:b w:val="false"/>
                <w:bCs w:val="false"/>
                <w:sz w:val="17"/>
                <w:szCs w:val="17"/>
              </w:rPr>
              <w:t xml:space="preserve">15</w:t>
            </w:r>
          </w:p>
        </w:tc>
        <w:tc>
          <w:tcPr>
            <w:tcW w:type="dxa" w:w="4360"/>
            <w:shd w:fill="FFFFFF" w:val="clear"/>
            <w:tcMar>
              <w:top w:type="dxa" w:w="50"/>
              <w:left w:type="dxa" w:w="80"/>
              <w:bottom w:type="dxa" w:w="50"/>
              <w:right w:type="dxa" w:w="80"/>
            </w:tcMar>
          </w:tcPr>
          <w:p>
            <w:pPr>
              <w:spacing w:after="0" w:line="242"/>
            </w:pPr>
            <w:r>
              <w:rPr>
                <w:b w:val="false"/>
                <w:bCs w:val="false"/>
                <w:sz w:val="17"/>
                <w:szCs w:val="17"/>
              </w:rPr>
              <w:t xml:space="preserve">behavioural/metabolic risks, control and readiness</w:t>
            </w:r>
          </w:p>
        </w:tc>
      </w:tr>
      <w:tr>
        <w:tc>
          <w:tcPr>
            <w:tcW w:type="dxa" w:w="3400"/>
            <w:shd w:fill="EEF2F6" w:val="clear"/>
            <w:tcMar>
              <w:top w:type="dxa" w:w="50"/>
              <w:left w:type="dxa" w:w="80"/>
              <w:bottom w:type="dxa" w:w="50"/>
              <w:right w:type="dxa" w:w="80"/>
            </w:tcMar>
          </w:tcPr>
          <w:p>
            <w:pPr>
              <w:spacing w:after="0" w:line="242"/>
            </w:pPr>
            <w:r>
              <w:rPr>
                <w:b w:val="false"/>
                <w:bCs w:val="false"/>
                <w:sz w:val="17"/>
                <w:szCs w:val="17"/>
              </w:rPr>
              <w:t xml:space="preserve">Routine HIS / maturity</w:t>
            </w:r>
          </w:p>
        </w:tc>
        <w:tc>
          <w:tcPr>
            <w:tcW w:type="dxa" w:w="1600"/>
            <w:shd w:fill="EEF2F6" w:val="clear"/>
            <w:tcMar>
              <w:top w:type="dxa" w:w="50"/>
              <w:left w:type="dxa" w:w="80"/>
              <w:bottom w:type="dxa" w:w="50"/>
              <w:right w:type="dxa" w:w="80"/>
            </w:tcMar>
          </w:tcPr>
          <w:p>
            <w:pPr>
              <w:spacing w:after="0" w:line="242"/>
            </w:pPr>
            <w:r>
              <w:rPr>
                <w:b w:val="false"/>
                <w:bCs w:val="false"/>
                <w:sz w:val="17"/>
                <w:szCs w:val="17"/>
              </w:rPr>
              <w:t xml:space="preserve">12</w:t>
            </w:r>
          </w:p>
        </w:tc>
        <w:tc>
          <w:tcPr>
            <w:tcW w:type="dxa" w:w="4360"/>
            <w:shd w:fill="EEF2F6" w:val="clear"/>
            <w:tcMar>
              <w:top w:type="dxa" w:w="50"/>
              <w:left w:type="dxa" w:w="80"/>
              <w:bottom w:type="dxa" w:w="50"/>
              <w:right w:type="dxa" w:w="80"/>
            </w:tcMar>
          </w:tcPr>
          <w:p>
            <w:pPr>
              <w:spacing w:after="0" w:line="242"/>
            </w:pPr>
            <w:r>
              <w:rPr>
                <w:b w:val="false"/>
                <w:bCs w:val="false"/>
                <w:sz w:val="17"/>
                <w:szCs w:val="17"/>
              </w:rPr>
              <w:t xml:space="preserve">governance, data-generation, analysis and communication sub-domains</w:t>
            </w:r>
          </w:p>
        </w:tc>
      </w:tr>
      <w:tr>
        <w:tc>
          <w:tcPr>
            <w:tcW w:type="dxa" w:w="3400"/>
            <w:shd w:fill="FFFFFF" w:val="clear"/>
            <w:tcMar>
              <w:top w:type="dxa" w:w="50"/>
              <w:left w:type="dxa" w:w="80"/>
              <w:bottom w:type="dxa" w:w="50"/>
              <w:right w:type="dxa" w:w="80"/>
            </w:tcMar>
          </w:tcPr>
          <w:p>
            <w:pPr>
              <w:spacing w:after="0" w:line="242"/>
            </w:pPr>
            <w:r>
              <w:rPr>
                <w:b w:val="false"/>
                <w:bCs w:val="false"/>
                <w:sz w:val="17"/>
                <w:szCs w:val="17"/>
              </w:rPr>
              <w:t xml:space="preserve">SRHR</w:t>
            </w:r>
          </w:p>
        </w:tc>
        <w:tc>
          <w:tcPr>
            <w:tcW w:type="dxa" w:w="1600"/>
            <w:shd w:fill="FFFFFF" w:val="clear"/>
            <w:tcMar>
              <w:top w:type="dxa" w:w="50"/>
              <w:left w:type="dxa" w:w="80"/>
              <w:bottom w:type="dxa" w:w="50"/>
              <w:right w:type="dxa" w:w="80"/>
            </w:tcMar>
          </w:tcPr>
          <w:p>
            <w:pPr>
              <w:spacing w:after="0" w:line="242"/>
            </w:pPr>
            <w:r>
              <w:rPr>
                <w:b w:val="false"/>
                <w:bCs w:val="false"/>
                <w:sz w:val="17"/>
                <w:szCs w:val="17"/>
              </w:rPr>
              <w:t xml:space="preserve">10</w:t>
            </w:r>
          </w:p>
        </w:tc>
        <w:tc>
          <w:tcPr>
            <w:tcW w:type="dxa" w:w="4360"/>
            <w:shd w:fill="FFFFFF" w:val="clear"/>
            <w:tcMar>
              <w:top w:type="dxa" w:w="50"/>
              <w:left w:type="dxa" w:w="80"/>
              <w:bottom w:type="dxa" w:w="50"/>
              <w:right w:type="dxa" w:w="80"/>
            </w:tcMar>
          </w:tcPr>
          <w:p>
            <w:pPr>
              <w:spacing w:after="0" w:line="242"/>
            </w:pPr>
            <w:r>
              <w:rPr>
                <w:b w:val="false"/>
                <w:bCs w:val="false"/>
                <w:sz w:val="17"/>
                <w:szCs w:val="17"/>
              </w:rPr>
              <w:t xml:space="preserve">family planning, ANC, skilled attendance, GBV, structural drivers</w:t>
            </w:r>
          </w:p>
        </w:tc>
      </w:tr>
      <w:tr>
        <w:tc>
          <w:tcPr>
            <w:tcW w:type="dxa" w:w="3400"/>
            <w:shd w:fill="EEF2F6" w:val="clear"/>
            <w:tcMar>
              <w:top w:type="dxa" w:w="50"/>
              <w:left w:type="dxa" w:w="80"/>
              <w:bottom w:type="dxa" w:w="50"/>
              <w:right w:type="dxa" w:w="80"/>
            </w:tcMar>
          </w:tcPr>
          <w:p>
            <w:pPr>
              <w:spacing w:after="0" w:line="242"/>
            </w:pPr>
            <w:r>
              <w:rPr>
                <w:b w:val="false"/>
                <w:bCs w:val="false"/>
                <w:sz w:val="17"/>
                <w:szCs w:val="17"/>
              </w:rPr>
              <w:t xml:space="preserve">SDG 3 attainment</w:t>
            </w:r>
          </w:p>
        </w:tc>
        <w:tc>
          <w:tcPr>
            <w:tcW w:type="dxa" w:w="1600"/>
            <w:shd w:fill="EEF2F6" w:val="clear"/>
            <w:tcMar>
              <w:top w:type="dxa" w:w="50"/>
              <w:left w:type="dxa" w:w="80"/>
              <w:bottom w:type="dxa" w:w="50"/>
              <w:right w:type="dxa" w:w="80"/>
            </w:tcMar>
          </w:tcPr>
          <w:p>
            <w:pPr>
              <w:spacing w:after="0" w:line="242"/>
            </w:pPr>
            <w:r>
              <w:rPr>
                <w:b w:val="false"/>
                <w:bCs w:val="false"/>
                <w:sz w:val="17"/>
                <w:szCs w:val="17"/>
              </w:rPr>
              <w:t xml:space="preserve">7</w:t>
            </w:r>
          </w:p>
        </w:tc>
        <w:tc>
          <w:tcPr>
            <w:tcW w:type="dxa" w:w="4360"/>
            <w:shd w:fill="EEF2F6" w:val="clear"/>
            <w:tcMar>
              <w:top w:type="dxa" w:w="50"/>
              <w:left w:type="dxa" w:w="80"/>
              <w:bottom w:type="dxa" w:w="50"/>
              <w:right w:type="dxa" w:w="80"/>
            </w:tcMar>
          </w:tcPr>
          <w:p>
            <w:pPr>
              <w:spacing w:after="0" w:line="242"/>
            </w:pPr>
            <w:r>
              <w:rPr>
                <w:b w:val="false"/>
                <w:bCs w:val="false"/>
                <w:sz w:val="17"/>
                <w:szCs w:val="17"/>
              </w:rPr>
              <w:t xml:space="preserve">enablers (UHC, financing, HIS, governance, digital) and conflict</w:t>
            </w:r>
          </w:p>
        </w:tc>
      </w:tr>
    </w:tbl>
    <w:p>
      <w:pPr>
        <w:spacing w:after="128" w:line="278"/>
        <w:jc w:val="both"/>
      </w:pPr>
      <w:r>
        <w:rPr>
          <w:sz w:val="21"/>
          <w:szCs w:val="21"/>
        </w:rPr>
        <w:t xml:space="preserve">The full per-predictor effect sizes are provided in docs/predictor_screening.csv, and the complete indicator catalogue (including the reclassified SDG 3 inputs and their evidence basis) in docs/predictor_catalogue.csv.</w:t>
      </w:r>
    </w:p>
    <w:p>
      <w:pPr>
        <w:pStyle w:val="Heading1"/>
      </w:pPr>
      <w:r>
        <w:rPr>
          <w:b/>
          <w:bCs/>
          <w:color w:val="0B132B"/>
        </w:rPr>
        <w:t xml:space="preserve">6. Reproducibility</w:t>
      </w:r>
    </w:p>
    <w:p>
      <w:pPr>
        <w:pStyle w:val="ListParagraph"/>
        <w:numPr>
          <w:ilvl w:val="0"/>
          <w:numId w:val="2"/>
        </w:numPr>
        <w:spacing w:after="60" w:line="264"/>
      </w:pPr>
      <w:r>
        <w:t xml:space="preserve">Run the screen: python scripts/screen_predictors.py → writes docs/predictor_screening.csv with each predictor's effect and status.</w:t>
      </w:r>
    </w:p>
    <w:p>
      <w:pPr>
        <w:pStyle w:val="ListParagraph"/>
        <w:numPr>
          <w:ilvl w:val="0"/>
          <w:numId w:val="2"/>
        </w:numPr>
        <w:spacing w:after="60" w:line="264"/>
      </w:pPr>
      <w:r>
        <w:t xml:space="preserve">Threshold and metric are defined at the top of the script; the do-operator rule lives in analytics/bayesian/model.py; the excluded/ reclassified variables are listed in scenario_engine/bayes_networks.py (EXCLUDE_LEVERS) and analytics/hiv/model.py.</w:t>
      </w:r>
    </w:p>
    <w:p>
      <w:pPr>
        <w:pStyle w:val="ListParagraph"/>
        <w:numPr>
          <w:ilvl w:val="0"/>
          <w:numId w:val="2"/>
        </w:numPr>
        <w:spacing w:after="60" w:line="264"/>
      </w:pPr>
      <w:r>
        <w:t xml:space="preserve">Because the screen is deterministic (fixed Monte-Carlo seed for the Bayesian domains), re-running it reproduces the same verdicts, so the final variable set is fully auditable.</w:t>
      </w:r>
    </w:p>
    <w:tbl>
      <w:tblPr>
        <w:tblW w:type="dxa" w:w="9360"/>
        <w:tblBorders>
          <w:top w:val="none"/>
          <w:left w:val="none"/>
          <w:bottom w:val="none"/>
          <w:right w:val="none"/>
          <w:insideH w:val="none"/>
          <w:insideV w:val="none"/>
        </w:tblBorders>
      </w:tblPr>
      <w:tblGrid>
        <w:gridCol w:w="70"/>
        <w:gridCol w:w="9290"/>
      </w:tblGrid>
      <w:tr>
        <w:tc>
          <w:tcPr>
            <w:tcW w:type="dxa" w:w="70"/>
            <w:shd w:fill="C0392B" w:val="clear"/>
          </w:tcPr>
          <w:p/>
        </w:tc>
        <w:tc>
          <w:tcPr>
            <w:tcW w:type="dxa" w:w="9290"/>
            <w:shd w:fill="EEF2F6" w:val="clear"/>
            <w:tcMar>
              <w:top w:type="dxa" w:w="90"/>
              <w:left w:type="dxa" w:w="150"/>
              <w:bottom w:type="dxa" w:w="90"/>
              <w:right w:type="dxa" w:w="130"/>
            </w:tcMar>
          </w:tcPr>
          <w:p>
            <w:pPr>
              <w:spacing w:after="50"/>
            </w:pPr>
            <w:r>
              <w:rPr>
                <w:b/>
                <w:bCs/>
                <w:color w:val="1C2541"/>
              </w:rPr>
              <w:t xml:space="preserve">Interpretation</w:t>
            </w:r>
          </w:p>
          <w:p>
            <w:pPr>
              <w:spacing w:after="0" w:line="266"/>
              <w:jc w:val="both"/>
            </w:pPr>
            <w:r>
              <w:rPr>
                <w:sz w:val="19"/>
                <w:szCs w:val="19"/>
              </w:rPr>
              <w:t xml:space="preserve">Screening removes variables that cannot move the outcome as currently modelled; it does not claim the removed determinants are unimportant in reality. Where a removed variable has a genuine mechanism (for example rapid diagnostic tests for malaria), it can be re-introduced once that pathway is specified in the DAG — at which point it would pass the same screen.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34155"/>
        <w:sz w:val="15"/>
        <w:szCs w:val="15"/>
      </w:rPr>
      <w:t xml:space="preserve">WHO AFRO · Illustrative decision-support — not official estimates   |   Page </w:t>
    </w:r>
    <w:r>
      <w:rPr>
        <w:color w:val="3341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C" w:sz="4"/>
      </w:pBdr>
      <w:jc w:val="right"/>
    </w:pPr>
    <w:r>
      <w:rPr>
        <w:color w:val="334155"/>
        <w:sz w:val="15"/>
        <w:szCs w:val="15"/>
      </w:rPr>
      <w:t xml:space="preserve">IHSA · Variable Screening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300"/>
    </w:pPr>
    <w:rPr>
      <w:b/>
      <w:bCs/>
      <w:color w:val="0B132B"/>
      <w:sz w:val="30"/>
      <w:szCs w:val="30"/>
    </w:rPr>
  </w:style>
  <w:style w:type="paragraph" w:styleId="Heading2">
    <w:name w:val="Heading 2"/>
    <w:basedOn w:val="Normal"/>
    <w:next w:val="Normal"/>
    <w:qFormat/>
    <w:pPr>
      <w:spacing w:after="100" w:before="220"/>
    </w:pPr>
    <w:rPr>
      <w:b/>
      <w:bCs/>
      <w:color w:val="1C2541"/>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IHSA Variable Screening Report</dc:title>
  <dc:creator>WHO AFRO IHSA</dc:creator>
  <cp:lastModifiedBy>Un-named</cp:lastModifiedBy>
  <cp:revision>1</cp:revision>
  <dcterms:created xsi:type="dcterms:W3CDTF">2026-07-07T13:45:21.154Z</dcterms:created>
  <dcterms:modified xsi:type="dcterms:W3CDTF">2026-07-07T13:45:21.155Z</dcterms:modified>
</cp:coreProperties>
</file>

<file path=docProps/custom.xml><?xml version="1.0" encoding="utf-8"?>
<Properties xmlns="http://schemas.openxmlformats.org/officeDocument/2006/custom-properties" xmlns:vt="http://schemas.openxmlformats.org/officeDocument/2006/docPropsVTypes"/>
</file>