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1C7C74"/>
          <w:sz w:val="36"/>
          <w:szCs w:val="36"/>
        </w:rPr>
        <w:t xml:space="preserve">WHO AFRO · IHSA</w:t>
      </w:r>
    </w:p>
    <w:p>
      <w:pPr>
        <w:spacing w:after="0" w:before="70"/>
        <w:jc w:val="center"/>
      </w:pPr>
      <w:r>
        <w:rPr>
          <w:b/>
          <w:bCs/>
          <w:color w:val="0B132B"/>
          <w:sz w:val="52"/>
          <w:szCs w:val="52"/>
        </w:rPr>
        <w:t xml:space="preserve">Integrated Health Systems Analytics Platform</w:t>
      </w:r>
    </w:p>
    <w:p>
      <w:pPr>
        <w:spacing w:after="0" w:before="120"/>
        <w:jc w:val="center"/>
      </w:pPr>
      <w:r>
        <w:rPr>
          <w:i/>
          <w:iCs/>
          <w:color w:val="334155"/>
          <w:sz w:val="28"/>
          <w:szCs w:val="28"/>
        </w:rPr>
        <w:t xml:space="preserve">Methodology, Model Specification &amp; Technical Documentation</w:t>
      </w:r>
    </w:p>
    <w:p>
      <w:pPr>
        <w:pBdr>
          <w:top w:val="single" w:color="C0392B" w:sz="6"/>
        </w:pBdr>
        <w:spacing w:after="0" w:before="700"/>
        <w:jc w:val="center"/>
      </w:pPr>
      <w:r>
        <w:rPr>
          <w:sz w:val="2"/>
          <w:szCs w:val="2"/>
        </w:rPr>
        <w:t xml:space="preserve"/>
      </w:r>
    </w:p>
    <w:p>
      <w:pPr>
        <w:spacing w:after="0" w:before="240"/>
        <w:jc w:val="center"/>
      </w:pPr>
      <w:r>
        <w:rPr>
          <w:b/>
          <w:bCs/>
          <w:color w:val="1C2541"/>
          <w:sz w:val="24"/>
          <w:szCs w:val="24"/>
        </w:rPr>
        <w:t xml:space="preserve">Scenario modelling &amp; predictive analytics across 13 health domains</w:t>
      </w:r>
    </w:p>
    <w:p>
      <w:pPr>
        <w:spacing w:after="0" w:before="60"/>
        <w:jc w:val="center"/>
      </w:pPr>
      <w:r>
        <w:rPr>
          <w:color w:val="334155"/>
          <w:sz w:val="19"/>
          <w:szCs w:val="19"/>
        </w:rPr>
        <w:t xml:space="preserve">HIV · Maternal · Neonatal · Child · Under-5 · UHC · TB · Malaria · NCD · SRHR · RHIS · Digital Health · SDG 3</w:t>
      </w:r>
    </w:p>
    <w:p>
      <w:pPr>
        <w:spacing w:after="0" w:before="900"/>
        <w:jc w:val="center"/>
      </w:pPr>
      <w:r>
        <w:rPr>
          <w:color w:val="334155"/>
          <w:sz w:val="20"/>
          <w:szCs w:val="20"/>
        </w:rPr>
        <w:t xml:space="preserve">Version 1.0 (finalized) · Enterprise release</w:t>
      </w:r>
    </w:p>
    <w:p>
      <w:pPr>
        <w:spacing w:after="0" w:before="40"/>
        <w:jc w:val="center"/>
      </w:pPr>
      <w:r>
        <w:rPr>
          <w:i/>
          <w:iCs/>
          <w:color w:val="334155"/>
          <w:sz w:val="19"/>
          <w:szCs w:val="19"/>
        </w:rPr>
        <w:t xml:space="preserve">Prepared by the Health Information &amp; Modelling function</w:t>
      </w:r>
    </w:p>
    <w:p>
      <w:r>
        <w:br w:type="page"/>
      </w:r>
    </w:p>
    <w:p>
      <w:pPr>
        <w:spacing w:after="160"/>
      </w:pPr>
      <w:r>
        <w:rPr>
          <w:b/>
          <w:bCs/>
          <w:color w:val="0B132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B132B"/>
        </w:rPr>
        <w:t xml:space="preserve">1. Introduction and platform philosophy</w:t>
      </w:r>
    </w:p>
    <w:p>
      <w:pPr>
        <w:spacing w:after="120" w:line="276"/>
        <w:jc w:val="both"/>
      </w:pPr>
      <w:r>
        <w:rPr>
          <w:b w:val="false"/>
          <w:bCs w:val="false"/>
          <w:i w:val="false"/>
          <w:iCs w:val="false"/>
        </w:rPr>
        <w:t xml:space="preserve">This document is the consolidated methodology and model specification for the Integrated Health Systems Analytics Platform (IHSA) developed for the WHO African Region. IHSA is deliberately a platform rather than a set of stand-alone dashboards: master data, data pipelines, a data warehouse, a shared scenario engine and a shared predictive-modelling framework are built once and reused by every health domain. New domains are added incrementally by implementing a small, well-defined contract.</w:t>
      </w:r>
    </w:p>
    <w:p>
      <w:pPr>
        <w:spacing w:after="120" w:line="276"/>
        <w:jc w:val="both"/>
      </w:pPr>
      <w:r>
        <w:rPr>
          <w:b w:val="false"/>
          <w:bCs w:val="false"/>
          <w:i w:val="false"/>
          <w:iCs w:val="false"/>
        </w:rPr>
        <w:t xml:space="preserve">The platform is designed to answer integrated policy questions such as: what happens to universal health coverage if government health expenditure rises 10%; how would HIV incidence change if ART coverage reached 95%; which countries are likely to miss SDG 3 targets by 2030; and which investments produce the greatest reduction in maternal, neonatal and child mortality. Because the domains share one engine, cross-domain effects (for example, family-planning scale-up lowering both maternal and under-five mortality) can be represented coherently.</w:t>
      </w:r>
    </w:p>
    <w:tbl>
      <w:tblPr>
        <w:tblW w:type="dxa" w:w="9360"/>
        <w:tblBorders>
          <w:top w:val="none"/>
          <w:left w:val="none"/>
          <w:bottom w:val="none"/>
          <w:right w:val="none"/>
          <w:insideH w:val="none"/>
          <w:insideV w:val="none"/>
        </w:tblBorders>
      </w:tblPr>
      <w:tblGrid>
        <w:gridCol w:w="70"/>
        <w:gridCol w:w="9290"/>
      </w:tblGrid>
      <w:tr>
        <w:tc>
          <w:tcPr>
            <w:tcW w:type="dxa" w:w="70"/>
            <w:shd w:fill="1C7C74" w:val="clear"/>
          </w:tcPr>
          <w:p/>
        </w:tc>
        <w:tc>
          <w:tcPr>
            <w:tcW w:type="dxa" w:w="9290"/>
            <w:shd w:fill="EEF2F6" w:val="clear"/>
            <w:tcMar>
              <w:top w:type="dxa" w:w="90"/>
              <w:left w:type="dxa" w:w="150"/>
              <w:bottom w:type="dxa" w:w="90"/>
              <w:right w:type="dxa" w:w="130"/>
            </w:tcMar>
          </w:tcPr>
          <w:p>
            <w:pPr>
              <w:spacing w:after="50"/>
            </w:pPr>
            <w:r>
              <w:rPr>
                <w:b/>
                <w:bCs/>
                <w:color w:val="1C2541"/>
              </w:rPr>
              <w:t xml:space="preserve">Scope of this release</w:t>
            </w:r>
          </w:p>
          <w:p>
            <w:pPr>
              <w:spacing w:after="0" w:line="266"/>
              <w:jc w:val="both"/>
            </w:pPr>
            <w:r>
              <w:rPr>
                <w:sz w:val="19"/>
                <w:szCs w:val="19"/>
              </w:rPr>
              <w:t xml:space="preserve">This finalized methodology covers thirteen domains: HIV, maternal mortality, neonatal mortality, child (1–59 month) mortality, under-five mortality, universal health coverage, tuberculosis, malaria, non-communicable diseases, sexual and reproductive health and rights, routine health information systems, digital health, and SDG 3 attainment. The HIV and maternal modules are implemented; the remaining modules are specified here to the same standard and are added incrementally following the platform contract.</w:t>
            </w:r>
          </w:p>
        </w:tc>
      </w:tr>
    </w:tbl>
    <w:p>
      <w:pPr>
        <w:pStyle w:val="Heading1"/>
        <w:spacing w:after="140" w:before="320"/>
      </w:pPr>
      <w:r>
        <w:rPr>
          <w:b/>
          <w:bCs/>
          <w:color w:val="0B132B"/>
        </w:rPr>
        <w:t xml:space="preserve">2. The shared scenario engine</w:t>
      </w:r>
    </w:p>
    <w:p>
      <w:pPr>
        <w:spacing w:after="120" w:line="276"/>
        <w:jc w:val="both"/>
      </w:pPr>
      <w:r>
        <w:rPr>
          <w:b w:val="false"/>
          <w:bCs w:val="false"/>
          <w:i w:val="false"/>
          <w:iCs w:val="false"/>
        </w:rPr>
        <w:t xml:space="preserve">Every domain module plugs into one modelling workflow. Rather than duplicating logic per disease area, the engine runs a common sequence around any registered domain model:</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Current State → Intervention → Simulation → Forecast → Impact Assessment → Sensitivity Analysis → Policy Recommendations</w:t>
      </w:r>
    </w:p>
    <w:p>
      <w:pPr>
        <w:spacing w:after="120" w:line="276"/>
        <w:jc w:val="both"/>
      </w:pPr>
      <w:r>
        <w:rPr>
          <w:b w:val="false"/>
          <w:bCs w:val="false"/>
          <w:i w:val="false"/>
          <w:iCs w:val="false"/>
        </w:rPr>
        <w:t xml:space="preserve">A domain module implements three operations — establish the observed baseline state for a country; apply an intervention by moving one or more levers; and simulate the resulting outcome — plus declarative metadata describing its levers and outcomes. The engine then provides forecasting, impact accounting, one-at-a-time sensitivity analysis and recommendation scaffolding to all domains for free. This separation is what makes the platform extensible: the user interface and the API are driven by the registry of models and require no change when a domain is added.</w:t>
      </w:r>
    </w:p>
    <w:p>
      <w:pPr>
        <w:pStyle w:val="Heading2"/>
        <w:spacing w:after="100" w:before="220"/>
      </w:pPr>
      <w:r>
        <w:rPr>
          <w:b/>
          <w:bCs/>
          <w:color w:val="1C2541"/>
        </w:rPr>
        <w:t xml:space="preserve">2.1 Anchoring to observed baselines</w:t>
      </w:r>
    </w:p>
    <w:p>
      <w:pPr>
        <w:spacing w:after="120" w:line="276"/>
        <w:jc w:val="both"/>
      </w:pPr>
      <w:r>
        <w:rPr>
          <w:b w:val="false"/>
          <w:bCs w:val="false"/>
          <w:i w:val="false"/>
          <w:iCs w:val="false"/>
        </w:rPr>
        <w:t xml:space="preserve">Across all domains, scenarios are expressed as changes relative to a country's most recent observed value. A no-change scenario therefore reproduces reality exactly, and projections remain interpretable even when levers are pushed beyond the historical data range. This anchoring is applied identically to the mechanistic and the statistical engines described in Section 3.</w:t>
      </w:r>
    </w:p>
    <w:p>
      <w:pPr>
        <w:pStyle w:val="Heading1"/>
        <w:spacing w:after="140" w:before="320"/>
      </w:pPr>
      <w:r>
        <w:rPr>
          <w:b/>
          <w:bCs/>
          <w:color w:val="0B132B"/>
        </w:rPr>
        <w:t xml:space="preserve">3. Predictive modelling framework</w:t>
      </w:r>
    </w:p>
    <w:p>
      <w:pPr>
        <w:spacing w:after="120" w:line="276"/>
        <w:jc w:val="both"/>
      </w:pPr>
      <w:r>
        <w:rPr>
          <w:b w:val="false"/>
          <w:bCs w:val="false"/>
          <w:i w:val="false"/>
          <w:iCs w:val="false"/>
        </w:rPr>
        <w:t xml:space="preserve">IHSA pairs two complementary families of model. Mechanistic models encode the epidemiological or health-systems theory of a domain and are transparent and auditable. Statistical predictive models learn empirical relationships from country-year panels and carry calibrated uncertainty. Mechanistic models drive causal-style what-if reasoning; statistical models cross-check magnitudes and provide prediction intervals. Both are anchored to observed baselines.</w:t>
      </w:r>
    </w:p>
    <w:p>
      <w:pPr>
        <w:pStyle w:val="Heading2"/>
        <w:spacing w:after="100" w:before="220"/>
      </w:pPr>
      <w:r>
        <w:rPr>
          <w:b/>
          <w:bCs/>
          <w:color w:val="1C2541"/>
        </w:rPr>
        <w:t xml:space="preserve">3.1 Mechanistic model families</w:t>
      </w:r>
    </w:p>
    <w:p>
      <w:pPr>
        <w:spacing w:after="120" w:line="276"/>
        <w:jc w:val="both"/>
      </w:pPr>
      <w:r>
        <w:rPr>
          <w:b w:val="false"/>
          <w:bCs w:val="false"/>
          <w:i w:val="false"/>
          <w:iCs w:val="false"/>
        </w:rPr>
        <w:t xml:space="preserve">Because the right structure differs by domain, IHSA uses several mechanistic families rather than forcing one template:</w:t>
      </w:r>
    </w:p>
    <w:p>
      <w:pPr>
        <w:pStyle w:val="ListParagraph"/>
        <w:numPr>
          <w:ilvl w:val="0"/>
          <w:numId w:val="2"/>
        </w:numPr>
        <w:spacing w:after="60" w:line="264"/>
      </w:pPr>
      <w:r>
        <w:t xml:space="preserve">Force-of-infection / transmission models (HIV, TB, malaria) — incidence scales with an effective infectious pool and multiplicative prevention modifiers, including treatment-as-prevention and vector control.</w:t>
      </w:r>
    </w:p>
    <w:p>
      <w:pPr>
        <w:pStyle w:val="ListParagraph"/>
        <w:numPr>
          <w:ilvl w:val="0"/>
          <w:numId w:val="2"/>
        </w:numPr>
        <w:spacing w:after="60" w:line="264"/>
      </w:pPr>
      <w:r>
        <w:t xml:space="preserve">Care-cascade models (HIV 95-95-95; TB find–treat–cure) — population effectiveness is the product of conditional coverage steps.</w:t>
      </w:r>
    </w:p>
    <w:p>
      <w:pPr>
        <w:pStyle w:val="ListParagraph"/>
        <w:numPr>
          <w:ilvl w:val="0"/>
          <w:numId w:val="2"/>
        </w:numPr>
        <w:spacing w:after="60" w:line="264"/>
      </w:pPr>
      <w:r>
        <w:t xml:space="preserve">Cause-deletion / Lives-Saved-Tool-style models (neonatal, child, under-five mortality) — deaths averted are summed over causes and interventions using effectiveness × coverage change × affected fraction.</w:t>
      </w:r>
    </w:p>
    <w:p>
      <w:pPr>
        <w:pStyle w:val="ListParagraph"/>
        <w:numPr>
          <w:ilvl w:val="0"/>
          <w:numId w:val="2"/>
        </w:numPr>
        <w:spacing w:after="60" w:line="264"/>
      </w:pPr>
      <w:r>
        <w:t xml:space="preserve">Comparative risk assessment / population attributable fraction (NCD) — attributable mortality is driven by risk-factor prevalence and relative risks.</w:t>
      </w:r>
    </w:p>
    <w:p>
      <w:pPr>
        <w:pStyle w:val="ListParagraph"/>
        <w:numPr>
          <w:ilvl w:val="0"/>
          <w:numId w:val="2"/>
        </w:numPr>
        <w:spacing w:after="60" w:line="264"/>
      </w:pPr>
      <w:r>
        <w:t xml:space="preserve">Elasticity / log-linear models (maternal mortality) — the outcome responds to each driver through an estimated elasticity.</w:t>
      </w:r>
    </w:p>
    <w:p>
      <w:pPr>
        <w:pStyle w:val="ListParagraph"/>
        <w:numPr>
          <w:ilvl w:val="0"/>
          <w:numId w:val="2"/>
        </w:numPr>
        <w:spacing w:after="60" w:line="264"/>
      </w:pPr>
      <w:r>
        <w:t xml:space="preserve">Financing production functions (UHC) — coverage responds to health financing and inputs with diminishing returns; financial protection is modelled separately.</w:t>
      </w:r>
    </w:p>
    <w:p>
      <w:pPr>
        <w:pStyle w:val="ListParagraph"/>
        <w:numPr>
          <w:ilvl w:val="0"/>
          <w:numId w:val="2"/>
        </w:numPr>
        <w:spacing w:after="60" w:line="264"/>
      </w:pPr>
      <w:r>
        <w:t xml:space="preserve">Composite maturity indices (RHIS, digital health) — a weighted index of determinant sub-scores responds to organisational and behavioural interventions.</w:t>
      </w:r>
    </w:p>
    <w:p>
      <w:pPr>
        <w:pStyle w:val="ListParagraph"/>
        <w:numPr>
          <w:ilvl w:val="0"/>
          <w:numId w:val="2"/>
        </w:numPr>
        <w:spacing w:after="60" w:line="264"/>
      </w:pPr>
      <w:r>
        <w:t xml:space="preserve">Demand-satisfied impact chains (SRHR) — contraceptive use averts unintended pregnancies and, downstream, maternal and newborn deaths.</w:t>
      </w:r>
    </w:p>
    <w:p>
      <w:pPr>
        <w:pStyle w:val="ListParagraph"/>
        <w:numPr>
          <w:ilvl w:val="0"/>
          <w:numId w:val="2"/>
        </w:numPr>
        <w:spacing w:after="60" w:line="264"/>
      </w:pPr>
      <w:r>
        <w:t xml:space="preserve">Target-gap trajectory models (SDG 3) — required versus achieved rates of change determine attainment by 2030.</w:t>
      </w:r>
    </w:p>
    <w:p>
      <w:pPr>
        <w:pStyle w:val="Heading2"/>
        <w:spacing w:after="100" w:before="220"/>
      </w:pPr>
      <w:r>
        <w:rPr>
          <w:b/>
          <w:bCs/>
          <w:color w:val="1C2541"/>
        </w:rPr>
        <w:t xml:space="preserve">3.2 Statistical predictive model: additive monotonic bootstrap</w:t>
      </w:r>
    </w:p>
    <w:p>
      <w:pPr>
        <w:spacing w:after="120" w:line="276"/>
        <w:jc w:val="both"/>
      </w:pPr>
      <w:r>
        <w:rPr>
          <w:b w:val="false"/>
          <w:bCs w:val="false"/>
          <w:i w:val="false"/>
          <w:iCs w:val="false"/>
        </w:rPr>
        <w:t xml:space="preserve">The default statistical engine is a monotone-constrained additive model on the log of the outcome, fitted so that each risk-oriented predictor enters with the sign implied by evidence (protective factors lower the outcome; risk factors raise it). Orienting predictors to a common risk direction and fitting monotone coefficients avoids the sign-flipping and multicollinearity pathologies that afflict unconstrained regression on highly correlated development indicators. Formally, for country-year observation i:</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log(Yᵢ) = β₀ + Σⱼ βⱼ · sⱼ · xᵢⱼ + εᵢ ,  with βⱼ ≥ 0</w:t>
      </w:r>
    </w:p>
    <w:p>
      <w:pPr>
        <w:spacing w:after="120" w:line="276"/>
        <w:jc w:val="both"/>
      </w:pPr>
      <w:r>
        <w:rPr>
          <w:b w:val="false"/>
          <w:bCs w:val="false"/>
          <w:i w:val="false"/>
          <w:iCs w:val="false"/>
        </w:rPr>
        <w:t xml:space="preserve">where sⱼ ∈ {−1, +1} orients predictor j to the risk direction. Uncertainty is quantified by a bootstrap ensemble (of order 10² resamples), yielding a distribution of coefficients and hence a prediction interval on the outcome. Scenario predictions are anchored to the observed country value through a log-gain factor:</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log(Ŷ_scenario) = log(Y_observed) + g · [ f(x_scenario) − f(x_baseline) ]</w:t>
      </w:r>
    </w:p>
    <w:p>
      <w:pPr>
        <w:spacing w:after="120" w:line="276"/>
        <w:jc w:val="both"/>
      </w:pPr>
      <w:r>
        <w:rPr>
          <w:b w:val="false"/>
          <w:bCs w:val="false"/>
          <w:i w:val="false"/>
          <w:iCs w:val="false"/>
        </w:rPr>
        <w:t xml:space="preserve">so that only the modelled effect of moving the levers is applied to the real starting value, and g calibrates the strength of the scenario response. This is the same family of model validated in the deployed maternal-mortality explorer, generalised here so any domain can train one from its panel.</w:t>
      </w:r>
    </w:p>
    <w:tbl>
      <w:tblPr>
        <w:tblW w:type="dxa" w:w="9360"/>
        <w:tblBorders>
          <w:top w:val="none"/>
          <w:left w:val="none"/>
          <w:bottom w:val="none"/>
          <w:right w:val="none"/>
          <w:insideH w:val="none"/>
          <w:insideV w:val="none"/>
        </w:tblBorders>
      </w:tblPr>
      <w:tblGrid>
        <w:gridCol w:w="70"/>
        <w:gridCol w:w="9290"/>
      </w:tblGrid>
      <w:tr>
        <w:tc>
          <w:tcPr>
            <w:tcW w:type="dxa" w:w="70"/>
            <w:shd w:fill="B7791F" w:val="clear"/>
          </w:tcPr>
          <w:p/>
        </w:tc>
        <w:tc>
          <w:tcPr>
            <w:tcW w:type="dxa" w:w="9290"/>
            <w:shd w:fill="EEF2F6" w:val="clear"/>
            <w:tcMar>
              <w:top w:type="dxa" w:w="90"/>
              <w:left w:type="dxa" w:w="150"/>
              <w:bottom w:type="dxa" w:w="90"/>
              <w:right w:type="dxa" w:w="130"/>
            </w:tcMar>
          </w:tcPr>
          <w:p>
            <w:pPr>
              <w:spacing w:after="50"/>
            </w:pPr>
            <w:r>
              <w:rPr>
                <w:b/>
                <w:bCs/>
                <w:color w:val="1C2541"/>
              </w:rPr>
              <w:t xml:space="preserve">Honest performance reporting</w:t>
            </w:r>
          </w:p>
          <w:p>
            <w:pPr>
              <w:spacing w:after="0" w:line="266"/>
              <w:jc w:val="both"/>
            </w:pPr>
            <w:r>
              <w:rPr>
                <w:sz w:val="19"/>
                <w:szCs w:val="19"/>
              </w:rPr>
              <w:t xml:space="preserve">Ecological country-year models of rare health outcomes typically explain a modest share of cross-country variance; the deployed maternal model, for instance, reported an in-sample R² around 0.33. IHSA reports cross-validated performance (leave-one-country-out) and prediction intervals rather than headline point accuracy, and always presents scenario outputs as illustrative rather than as forecasts of record.</w:t>
            </w:r>
          </w:p>
        </w:tc>
      </w:tr>
    </w:tbl>
    <w:p>
      <w:pPr>
        <w:pStyle w:val="Heading2"/>
        <w:spacing w:after="100" w:before="220"/>
      </w:pPr>
      <w:r>
        <w:rPr>
          <w:b/>
          <w:bCs/>
          <w:color w:val="1C2541"/>
        </w:rPr>
        <w:t xml:space="preserve">3.3 Forecasting and sensitivity</w:t>
      </w:r>
    </w:p>
    <w:p>
      <w:pPr>
        <w:spacing w:after="120" w:line="276"/>
        <w:jc w:val="both"/>
      </w:pPr>
      <w:r>
        <w:rPr>
          <w:b w:val="false"/>
          <w:bCs w:val="false"/>
          <w:i w:val="false"/>
          <w:iCs w:val="false"/>
        </w:rPr>
        <w:t xml:space="preserve">The engine projects the primary outcome forward using transparent trajectories (geometric approach-to-target, constant annual rate of change, or linear) as coverage moves from baseline toward scenario values. Sensitivity is assessed one lever at a time: each lever is moved alone and its solo effect on the outcome is ranked, identifying the highest-leverage inputs and those with negligible marginal effect. A probabilistic (multi-way, Monte-Carlo) sensitivity analysis over effect-size uncertainty is the planned extension.</w:t>
      </w:r>
    </w:p>
    <w:p>
      <w:pPr>
        <w:pStyle w:val="Heading2"/>
        <w:spacing w:after="100" w:before="220"/>
      </w:pPr>
      <w:r>
        <w:rPr>
          <w:b/>
          <w:bCs/>
          <w:color w:val="1C2541"/>
        </w:rPr>
        <w:t xml:space="preserve">3.4 Validation</w:t>
      </w:r>
    </w:p>
    <w:p>
      <w:pPr>
        <w:pStyle w:val="ListParagraph"/>
        <w:numPr>
          <w:ilvl w:val="0"/>
          <w:numId w:val="2"/>
        </w:numPr>
        <w:spacing w:after="60" w:line="264"/>
      </w:pPr>
      <w:r>
        <w:t xml:space="preserve">Baseline invariance: a no-change scenario reproduces the observed outcome exactly (verified in automated tests).</w:t>
      </w:r>
    </w:p>
    <w:p>
      <w:pPr>
        <w:pStyle w:val="ListParagraph"/>
        <w:numPr>
          <w:ilvl w:val="0"/>
          <w:numId w:val="2"/>
        </w:numPr>
        <w:spacing w:after="60" w:line="264"/>
      </w:pPr>
      <w:r>
        <w:t xml:space="preserve">Directionality: protective levers reduce adverse outcomes and risk factors increase them, by construction and by test.</w:t>
      </w:r>
    </w:p>
    <w:p>
      <w:pPr>
        <w:pStyle w:val="ListParagraph"/>
        <w:numPr>
          <w:ilvl w:val="0"/>
          <w:numId w:val="2"/>
        </w:numPr>
        <w:spacing w:after="60" w:line="264"/>
      </w:pPr>
      <w:r>
        <w:t xml:space="preserve">Cross-engine coherence: mechanistic and statistical projections are compared for order-of-magnitude agreement.</w:t>
      </w:r>
    </w:p>
    <w:p>
      <w:pPr>
        <w:pStyle w:val="ListParagraph"/>
        <w:numPr>
          <w:ilvl w:val="0"/>
          <w:numId w:val="2"/>
        </w:numPr>
        <w:spacing w:after="60" w:line="264"/>
      </w:pPr>
      <w:r>
        <w:t xml:space="preserve">External validation: relative changes should be checked against agency estimates (UNAIDS/Spectrum, UN MMEIG, UN IGME, WHO GTB/GMP) and, where available, published dynamic models before operational use.</w:t>
      </w:r>
    </w:p>
    <w:p>
      <w:r>
        <w:br w:type="page"/>
      </w:r>
    </w:p>
    <w:p>
      <w:pPr>
        <w:pStyle w:val="Heading1"/>
        <w:spacing w:after="140" w:before="320"/>
      </w:pPr>
      <w:r>
        <w:rPr>
          <w:b/>
          <w:bCs/>
          <w:color w:val="0B132B"/>
        </w:rPr>
        <w:t xml:space="preserve">4. Data sources and API mining</w:t>
      </w:r>
    </w:p>
    <w:p>
      <w:pPr>
        <w:spacing w:after="120" w:line="276"/>
        <w:jc w:val="both"/>
      </w:pPr>
      <w:r>
        <w:rPr>
          <w:b w:val="false"/>
          <w:bCs w:val="false"/>
          <w:i w:val="false"/>
          <w:iCs w:val="false"/>
        </w:rPr>
        <w:t xml:space="preserve">IHSA assembles country-year panels for the 47 WHO AFRO member states by mining open indicator APIs, with a common pipeline: fetch (with retries and pagination) → validate → impute sparse gaps (within-country trend then regional median) → land in the medallion warehouse (raw → staging → processed → reference → analytics) with metadata versioning. Reusable source clients share this machinery; each client only implements source-specific URL building and parsing.</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1500"/>
        <w:gridCol w:w="2400"/>
        <w:gridCol w:w="3360"/>
        <w:gridCol w:w="2100"/>
      </w:tblGrid>
      <w:tr>
        <w:trPr>
          <w:tblHeader/>
        </w:trPr>
        <w:tc>
          <w:tcPr>
            <w:tcW w:type="dxa" w:w="1500"/>
            <w:shd w:fill="0B132B" w:val="clear"/>
            <w:tcMar>
              <w:top w:type="dxa" w:w="54"/>
              <w:left w:type="dxa" w:w="84"/>
              <w:bottom w:type="dxa" w:w="54"/>
              <w:right w:type="dxa" w:w="84"/>
            </w:tcMar>
          </w:tcPr>
          <w:p>
            <w:pPr>
              <w:spacing w:after="0" w:line="248"/>
              <w:jc w:val="left"/>
            </w:pPr>
            <w:r>
              <w:rPr>
                <w:b/>
                <w:bCs/>
                <w:color w:val="FFFFFF"/>
                <w:sz w:val="17"/>
                <w:szCs w:val="17"/>
              </w:rPr>
              <w:t xml:space="preserve">Agency</w:t>
            </w:r>
          </w:p>
        </w:tc>
        <w:tc>
          <w:tcPr>
            <w:tcW w:type="dxa" w:w="2400"/>
            <w:shd w:fill="0B132B" w:val="clear"/>
            <w:tcMar>
              <w:top w:type="dxa" w:w="54"/>
              <w:left w:type="dxa" w:w="84"/>
              <w:bottom w:type="dxa" w:w="54"/>
              <w:right w:type="dxa" w:w="84"/>
            </w:tcMar>
          </w:tcPr>
          <w:p>
            <w:pPr>
              <w:spacing w:after="0" w:line="248"/>
              <w:jc w:val="left"/>
            </w:pPr>
            <w:r>
              <w:rPr>
                <w:b/>
                <w:bCs/>
                <w:color w:val="FFFFFF"/>
                <w:sz w:val="17"/>
                <w:szCs w:val="17"/>
              </w:rPr>
              <w:t xml:space="preserve">Interface</w:t>
            </w:r>
          </w:p>
        </w:tc>
        <w:tc>
          <w:tcPr>
            <w:tcW w:type="dxa" w:w="3360"/>
            <w:shd w:fill="0B132B" w:val="clear"/>
            <w:tcMar>
              <w:top w:type="dxa" w:w="54"/>
              <w:left w:type="dxa" w:w="84"/>
              <w:bottom w:type="dxa" w:w="54"/>
              <w:right w:type="dxa" w:w="84"/>
            </w:tcMar>
          </w:tcPr>
          <w:p>
            <w:pPr>
              <w:spacing w:after="0" w:line="248"/>
              <w:jc w:val="left"/>
            </w:pPr>
            <w:r>
              <w:rPr>
                <w:b/>
                <w:bCs/>
                <w:color w:val="FFFFFF"/>
                <w:sz w:val="17"/>
                <w:szCs w:val="17"/>
              </w:rPr>
              <w:t xml:space="preserve">Representative indicators (codes)</w:t>
            </w:r>
          </w:p>
        </w:tc>
        <w:tc>
          <w:tcPr>
            <w:tcW w:type="dxa" w:w="2100"/>
            <w:shd w:fill="0B132B" w:val="clear"/>
            <w:tcMar>
              <w:top w:type="dxa" w:w="54"/>
              <w:left w:type="dxa" w:w="84"/>
              <w:bottom w:type="dxa" w:w="54"/>
              <w:right w:type="dxa" w:w="84"/>
            </w:tcMar>
          </w:tcPr>
          <w:p>
            <w:pPr>
              <w:spacing w:after="0" w:line="248"/>
              <w:jc w:val="left"/>
            </w:pPr>
            <w:r>
              <w:rPr>
                <w:b/>
                <w:bCs/>
                <w:color w:val="FFFFFF"/>
                <w:sz w:val="17"/>
                <w:szCs w:val="17"/>
              </w:rPr>
              <w:t xml:space="preserve">Access</w:t>
            </w:r>
          </w:p>
        </w:tc>
      </w:tr>
      <w:tr>
        <w:tc>
          <w:tcPr>
            <w:tcW w:type="dxa" w:w="1500"/>
            <w:shd w:fill="FFFFFF" w:val="clear"/>
            <w:tcMar>
              <w:top w:type="dxa" w:w="54"/>
              <w:left w:type="dxa" w:w="84"/>
              <w:bottom w:type="dxa" w:w="54"/>
              <w:right w:type="dxa" w:w="84"/>
            </w:tcMar>
          </w:tcPr>
          <w:p>
            <w:pPr>
              <w:spacing w:after="0" w:line="248"/>
              <w:jc w:val="left"/>
            </w:pPr>
            <w:r>
              <w:rPr>
                <w:b w:val="false"/>
                <w:bCs w:val="false"/>
                <w:sz w:val="17"/>
                <w:szCs w:val="17"/>
              </w:rPr>
              <w:t xml:space="preserve">World Bank</w:t>
            </w:r>
          </w:p>
        </w:tc>
        <w:tc>
          <w:tcPr>
            <w:tcW w:type="dxa" w:w="2400"/>
            <w:shd w:fill="FFFFFF" w:val="clear"/>
            <w:tcMar>
              <w:top w:type="dxa" w:w="54"/>
              <w:left w:type="dxa" w:w="84"/>
              <w:bottom w:type="dxa" w:w="54"/>
              <w:right w:type="dxa" w:w="84"/>
            </w:tcMar>
          </w:tcPr>
          <w:p>
            <w:pPr>
              <w:spacing w:after="0" w:line="248"/>
              <w:jc w:val="left"/>
            </w:pPr>
            <w:r>
              <w:rPr>
                <w:b w:val="false"/>
                <w:bCs w:val="false"/>
                <w:sz w:val="17"/>
                <w:szCs w:val="17"/>
              </w:rPr>
              <w:t xml:space="preserve">REST JSON API (api.worldbank.org/v2)</w:t>
            </w:r>
          </w:p>
        </w:tc>
        <w:tc>
          <w:tcPr>
            <w:tcW w:type="dxa" w:w="3360"/>
            <w:shd w:fill="FFFFFF" w:val="clear"/>
            <w:tcMar>
              <w:top w:type="dxa" w:w="54"/>
              <w:left w:type="dxa" w:w="84"/>
              <w:bottom w:type="dxa" w:w="54"/>
              <w:right w:type="dxa" w:w="84"/>
            </w:tcMar>
          </w:tcPr>
          <w:p>
            <w:pPr>
              <w:spacing w:after="0" w:line="248"/>
              <w:jc w:val="left"/>
            </w:pPr>
            <w:r>
              <w:rPr>
                <w:b w:val="false"/>
                <w:bCs w:val="false"/>
                <w:sz w:val="17"/>
                <w:szCs w:val="17"/>
              </w:rPr>
              <w:t xml:space="preserve">MMR SH.STA.MMRT; U5MR SH.DYN.MORT; NMR SH.DYN.NMRT; IMR SP.DYN.IMRT.IN; SBA SH.STA.BRTC.ZS; DPT3 SH.IMM.IDPT; measles SH.IMM.MEAS; TFR SP.DYN.TFRT.IN; HIV SH.DYN.AIDS.ZS; malaria SH.MLR.INCD.P3; TB SH.TBS.INCD; GGHE SH.XPD.GHED.GD.ZS; OOP SH.XPD.OOPC.CH.ZS; literacy SE.ADT.LITR.FE.ZS</w:t>
            </w:r>
          </w:p>
        </w:tc>
        <w:tc>
          <w:tcPr>
            <w:tcW w:type="dxa" w:w="2100"/>
            <w:shd w:fill="FFFFFF" w:val="clear"/>
            <w:tcMar>
              <w:top w:type="dxa" w:w="54"/>
              <w:left w:type="dxa" w:w="84"/>
              <w:bottom w:type="dxa" w:w="54"/>
              <w:right w:type="dxa" w:w="84"/>
            </w:tcMar>
          </w:tcPr>
          <w:p>
            <w:pPr>
              <w:spacing w:after="0" w:line="248"/>
              <w:jc w:val="left"/>
            </w:pPr>
            <w:r>
              <w:rPr>
                <w:b w:val="false"/>
                <w:bCs w:val="false"/>
                <w:sz w:val="17"/>
                <w:szCs w:val="17"/>
              </w:rPr>
              <w:t xml:space="preserve">Open, no key</w:t>
            </w:r>
          </w:p>
        </w:tc>
      </w:tr>
      <w:tr>
        <w:tc>
          <w:tcPr>
            <w:tcW w:type="dxa" w:w="1500"/>
            <w:shd w:fill="EEF2F6" w:val="clear"/>
            <w:tcMar>
              <w:top w:type="dxa" w:w="54"/>
              <w:left w:type="dxa" w:w="84"/>
              <w:bottom w:type="dxa" w:w="54"/>
              <w:right w:type="dxa" w:w="84"/>
            </w:tcMar>
          </w:tcPr>
          <w:p>
            <w:pPr>
              <w:spacing w:after="0" w:line="248"/>
              <w:jc w:val="left"/>
            </w:pPr>
            <w:r>
              <w:rPr>
                <w:b w:val="false"/>
                <w:bCs w:val="false"/>
                <w:sz w:val="17"/>
                <w:szCs w:val="17"/>
              </w:rPr>
              <w:t xml:space="preserve">WHO GHO</w:t>
            </w:r>
          </w:p>
        </w:tc>
        <w:tc>
          <w:tcPr>
            <w:tcW w:type="dxa" w:w="2400"/>
            <w:shd w:fill="EEF2F6" w:val="clear"/>
            <w:tcMar>
              <w:top w:type="dxa" w:w="54"/>
              <w:left w:type="dxa" w:w="84"/>
              <w:bottom w:type="dxa" w:w="54"/>
              <w:right w:type="dxa" w:w="84"/>
            </w:tcMar>
          </w:tcPr>
          <w:p>
            <w:pPr>
              <w:spacing w:after="0" w:line="248"/>
              <w:jc w:val="left"/>
            </w:pPr>
            <w:r>
              <w:rPr>
                <w:b w:val="false"/>
                <w:bCs w:val="false"/>
                <w:sz w:val="17"/>
                <w:szCs w:val="17"/>
              </w:rPr>
              <w:t xml:space="preserve">OData API (ghoapi.azureedge.net)</w:t>
            </w:r>
          </w:p>
        </w:tc>
        <w:tc>
          <w:tcPr>
            <w:tcW w:type="dxa" w:w="3360"/>
            <w:shd w:fill="EEF2F6" w:val="clear"/>
            <w:tcMar>
              <w:top w:type="dxa" w:w="54"/>
              <w:left w:type="dxa" w:w="84"/>
              <w:bottom w:type="dxa" w:w="54"/>
              <w:right w:type="dxa" w:w="84"/>
            </w:tcMar>
          </w:tcPr>
          <w:p>
            <w:pPr>
              <w:spacing w:after="0" w:line="248"/>
              <w:jc w:val="left"/>
            </w:pPr>
            <w:r>
              <w:rPr>
                <w:b w:val="false"/>
                <w:bCs w:val="false"/>
                <w:sz w:val="17"/>
                <w:szCs w:val="17"/>
              </w:rPr>
              <w:t xml:space="preserve">UHC service coverage index UHC_INDEX_REPORTED; NCD premature mortality NCDMORT3070; workforce density; immunisation; risk factors</w:t>
            </w:r>
          </w:p>
        </w:tc>
        <w:tc>
          <w:tcPr>
            <w:tcW w:type="dxa" w:w="2100"/>
            <w:shd w:fill="EEF2F6" w:val="clear"/>
            <w:tcMar>
              <w:top w:type="dxa" w:w="54"/>
              <w:left w:type="dxa" w:w="84"/>
              <w:bottom w:type="dxa" w:w="54"/>
              <w:right w:type="dxa" w:w="84"/>
            </w:tcMar>
          </w:tcPr>
          <w:p>
            <w:pPr>
              <w:spacing w:after="0" w:line="248"/>
              <w:jc w:val="left"/>
            </w:pPr>
            <w:r>
              <w:rPr>
                <w:b w:val="false"/>
                <w:bCs w:val="false"/>
                <w:sz w:val="17"/>
                <w:szCs w:val="17"/>
              </w:rPr>
              <w:t xml:space="preserve">Open, no key</w:t>
            </w:r>
          </w:p>
        </w:tc>
      </w:tr>
      <w:tr>
        <w:tc>
          <w:tcPr>
            <w:tcW w:type="dxa" w:w="1500"/>
            <w:shd w:fill="FFFFFF" w:val="clear"/>
            <w:tcMar>
              <w:top w:type="dxa" w:w="54"/>
              <w:left w:type="dxa" w:w="84"/>
              <w:bottom w:type="dxa" w:w="54"/>
              <w:right w:type="dxa" w:w="84"/>
            </w:tcMar>
          </w:tcPr>
          <w:p>
            <w:pPr>
              <w:spacing w:after="0" w:line="248"/>
              <w:jc w:val="left"/>
            </w:pPr>
            <w:r>
              <w:rPr>
                <w:b w:val="false"/>
                <w:bCs w:val="false"/>
                <w:sz w:val="17"/>
                <w:szCs w:val="17"/>
              </w:rPr>
              <w:t xml:space="preserve">UNICEF</w:t>
            </w:r>
          </w:p>
        </w:tc>
        <w:tc>
          <w:tcPr>
            <w:tcW w:type="dxa" w:w="2400"/>
            <w:shd w:fill="FFFFFF" w:val="clear"/>
            <w:tcMar>
              <w:top w:type="dxa" w:w="54"/>
              <w:left w:type="dxa" w:w="84"/>
              <w:bottom w:type="dxa" w:w="54"/>
              <w:right w:type="dxa" w:w="84"/>
            </w:tcMar>
          </w:tcPr>
          <w:p>
            <w:pPr>
              <w:spacing w:after="0" w:line="248"/>
              <w:jc w:val="left"/>
            </w:pPr>
            <w:r>
              <w:rPr>
                <w:b w:val="false"/>
                <w:bCs w:val="false"/>
                <w:sz w:val="17"/>
                <w:szCs w:val="17"/>
              </w:rPr>
              <w:t xml:space="preserve">SDMX API / unicefdata (data.unicef.org)</w:t>
            </w:r>
          </w:p>
        </w:tc>
        <w:tc>
          <w:tcPr>
            <w:tcW w:type="dxa" w:w="3360"/>
            <w:shd w:fill="FFFFFF" w:val="clear"/>
            <w:tcMar>
              <w:top w:type="dxa" w:w="54"/>
              <w:left w:type="dxa" w:w="84"/>
              <w:bottom w:type="dxa" w:w="54"/>
              <w:right w:type="dxa" w:w="84"/>
            </w:tcMar>
          </w:tcPr>
          <w:p>
            <w:pPr>
              <w:spacing w:after="0" w:line="248"/>
              <w:jc w:val="left"/>
            </w:pPr>
            <w:r>
              <w:rPr>
                <w:b w:val="false"/>
                <w:bCs w:val="false"/>
                <w:sz w:val="17"/>
                <w:szCs w:val="17"/>
              </w:rPr>
              <w:t xml:space="preserve">U5MR CME_MRY0T4; neonatal CME_MRM0; institutional delivery MNCH_INSTDEL; immunisation; nutrition; WASH</w:t>
            </w:r>
          </w:p>
        </w:tc>
        <w:tc>
          <w:tcPr>
            <w:tcW w:type="dxa" w:w="2100"/>
            <w:shd w:fill="FFFFFF" w:val="clear"/>
            <w:tcMar>
              <w:top w:type="dxa" w:w="54"/>
              <w:left w:type="dxa" w:w="84"/>
              <w:bottom w:type="dxa" w:w="54"/>
              <w:right w:type="dxa" w:w="84"/>
            </w:tcMar>
          </w:tcPr>
          <w:p>
            <w:pPr>
              <w:spacing w:after="0" w:line="248"/>
              <w:jc w:val="left"/>
            </w:pPr>
            <w:r>
              <w:rPr>
                <w:b w:val="false"/>
                <w:bCs w:val="false"/>
                <w:sz w:val="17"/>
                <w:szCs w:val="17"/>
              </w:rPr>
              <w:t xml:space="preserve">Open (SDMX)</w:t>
            </w:r>
          </w:p>
        </w:tc>
      </w:tr>
      <w:tr>
        <w:tc>
          <w:tcPr>
            <w:tcW w:type="dxa" w:w="1500"/>
            <w:shd w:fill="EEF2F6" w:val="clear"/>
            <w:tcMar>
              <w:top w:type="dxa" w:w="54"/>
              <w:left w:type="dxa" w:w="84"/>
              <w:bottom w:type="dxa" w:w="54"/>
              <w:right w:type="dxa" w:w="84"/>
            </w:tcMar>
          </w:tcPr>
          <w:p>
            <w:pPr>
              <w:spacing w:after="0" w:line="248"/>
              <w:jc w:val="left"/>
            </w:pPr>
            <w:r>
              <w:rPr>
                <w:b w:val="false"/>
                <w:bCs w:val="false"/>
                <w:sz w:val="17"/>
                <w:szCs w:val="17"/>
              </w:rPr>
              <w:t xml:space="preserve">UN IGME</w:t>
            </w:r>
          </w:p>
        </w:tc>
        <w:tc>
          <w:tcPr>
            <w:tcW w:type="dxa" w:w="2400"/>
            <w:shd w:fill="EEF2F6" w:val="clear"/>
            <w:tcMar>
              <w:top w:type="dxa" w:w="54"/>
              <w:left w:type="dxa" w:w="84"/>
              <w:bottom w:type="dxa" w:w="54"/>
              <w:right w:type="dxa" w:w="84"/>
            </w:tcMar>
          </w:tcPr>
          <w:p>
            <w:pPr>
              <w:spacing w:after="0" w:line="248"/>
              <w:jc w:val="left"/>
            </w:pPr>
            <w:r>
              <w:rPr>
                <w:b w:val="false"/>
                <w:bCs w:val="false"/>
                <w:sz w:val="17"/>
                <w:szCs w:val="17"/>
              </w:rPr>
              <w:t xml:space="preserve">Child mortality estimates (childmortality.org)</w:t>
            </w:r>
          </w:p>
        </w:tc>
        <w:tc>
          <w:tcPr>
            <w:tcW w:type="dxa" w:w="3360"/>
            <w:shd w:fill="EEF2F6" w:val="clear"/>
            <w:tcMar>
              <w:top w:type="dxa" w:w="54"/>
              <w:left w:type="dxa" w:w="84"/>
              <w:bottom w:type="dxa" w:w="54"/>
              <w:right w:type="dxa" w:w="84"/>
            </w:tcMar>
          </w:tcPr>
          <w:p>
            <w:pPr>
              <w:spacing w:after="0" w:line="248"/>
              <w:jc w:val="left"/>
            </w:pPr>
            <w:r>
              <w:rPr>
                <w:b w:val="false"/>
                <w:bCs w:val="false"/>
                <w:sz w:val="17"/>
                <w:szCs w:val="17"/>
              </w:rPr>
              <w:t xml:space="preserve">U5MR, IMR, NMR, stillbirth rate — agency consensus estimates</w:t>
            </w:r>
          </w:p>
        </w:tc>
        <w:tc>
          <w:tcPr>
            <w:tcW w:type="dxa" w:w="2100"/>
            <w:shd w:fill="EEF2F6" w:val="clear"/>
            <w:tcMar>
              <w:top w:type="dxa" w:w="54"/>
              <w:left w:type="dxa" w:w="84"/>
              <w:bottom w:type="dxa" w:w="54"/>
              <w:right w:type="dxa" w:w="84"/>
            </w:tcMar>
          </w:tcPr>
          <w:p>
            <w:pPr>
              <w:spacing w:after="0" w:line="248"/>
              <w:jc w:val="left"/>
            </w:pPr>
            <w:r>
              <w:rPr>
                <w:b w:val="false"/>
                <w:bCs w:val="false"/>
                <w:sz w:val="17"/>
                <w:szCs w:val="17"/>
              </w:rPr>
              <w:t xml:space="preserve">Open download</w:t>
            </w:r>
          </w:p>
        </w:tc>
      </w:tr>
      <w:tr>
        <w:tc>
          <w:tcPr>
            <w:tcW w:type="dxa" w:w="1500"/>
            <w:shd w:fill="FFFFFF" w:val="clear"/>
            <w:tcMar>
              <w:top w:type="dxa" w:w="54"/>
              <w:left w:type="dxa" w:w="84"/>
              <w:bottom w:type="dxa" w:w="54"/>
              <w:right w:type="dxa" w:w="84"/>
            </w:tcMar>
          </w:tcPr>
          <w:p>
            <w:pPr>
              <w:spacing w:after="0" w:line="248"/>
              <w:jc w:val="left"/>
            </w:pPr>
            <w:r>
              <w:rPr>
                <w:b w:val="false"/>
                <w:bCs w:val="false"/>
                <w:sz w:val="17"/>
                <w:szCs w:val="17"/>
              </w:rPr>
              <w:t xml:space="preserve">UNAIDS</w:t>
            </w:r>
          </w:p>
        </w:tc>
        <w:tc>
          <w:tcPr>
            <w:tcW w:type="dxa" w:w="2400"/>
            <w:shd w:fill="FFFFFF" w:val="clear"/>
            <w:tcMar>
              <w:top w:type="dxa" w:w="54"/>
              <w:left w:type="dxa" w:w="84"/>
              <w:bottom w:type="dxa" w:w="54"/>
              <w:right w:type="dxa" w:w="84"/>
            </w:tcMar>
          </w:tcPr>
          <w:p>
            <w:pPr>
              <w:spacing w:after="0" w:line="248"/>
              <w:jc w:val="left"/>
            </w:pPr>
            <w:r>
              <w:rPr>
                <w:b w:val="false"/>
                <w:bCs w:val="false"/>
                <w:sz w:val="17"/>
                <w:szCs w:val="17"/>
              </w:rPr>
              <w:t xml:space="preserve">AIDSinfo (aidsinfo.unaids.org)</w:t>
            </w:r>
          </w:p>
        </w:tc>
        <w:tc>
          <w:tcPr>
            <w:tcW w:type="dxa" w:w="3360"/>
            <w:shd w:fill="FFFFFF" w:val="clear"/>
            <w:tcMar>
              <w:top w:type="dxa" w:w="54"/>
              <w:left w:type="dxa" w:w="84"/>
              <w:bottom w:type="dxa" w:w="54"/>
              <w:right w:type="dxa" w:w="84"/>
            </w:tcMar>
          </w:tcPr>
          <w:p>
            <w:pPr>
              <w:spacing w:after="0" w:line="248"/>
              <w:jc w:val="left"/>
            </w:pPr>
            <w:r>
              <w:rPr>
                <w:b w:val="false"/>
                <w:bCs w:val="false"/>
                <w:sz w:val="17"/>
                <w:szCs w:val="17"/>
              </w:rPr>
              <w:t xml:space="preserve">HIV incidence, prevalence, ART coverage, viral suppression, PMTCT</w:t>
            </w:r>
          </w:p>
        </w:tc>
        <w:tc>
          <w:tcPr>
            <w:tcW w:type="dxa" w:w="2100"/>
            <w:shd w:fill="FFFFFF" w:val="clear"/>
            <w:tcMar>
              <w:top w:type="dxa" w:w="54"/>
              <w:left w:type="dxa" w:w="84"/>
              <w:bottom w:type="dxa" w:w="54"/>
              <w:right w:type="dxa" w:w="84"/>
            </w:tcMar>
          </w:tcPr>
          <w:p>
            <w:pPr>
              <w:spacing w:after="0" w:line="248"/>
              <w:jc w:val="left"/>
            </w:pPr>
            <w:r>
              <w:rPr>
                <w:b w:val="false"/>
                <w:bCs w:val="false"/>
                <w:sz w:val="17"/>
                <w:szCs w:val="17"/>
              </w:rPr>
              <w:t xml:space="preserve">Bulk export</w:t>
            </w:r>
          </w:p>
        </w:tc>
      </w:tr>
      <w:tr>
        <w:tc>
          <w:tcPr>
            <w:tcW w:type="dxa" w:w="1500"/>
            <w:shd w:fill="EEF2F6" w:val="clear"/>
            <w:tcMar>
              <w:top w:type="dxa" w:w="54"/>
              <w:left w:type="dxa" w:w="84"/>
              <w:bottom w:type="dxa" w:w="54"/>
              <w:right w:type="dxa" w:w="84"/>
            </w:tcMar>
          </w:tcPr>
          <w:p>
            <w:pPr>
              <w:spacing w:after="0" w:line="248"/>
              <w:jc w:val="left"/>
            </w:pPr>
            <w:r>
              <w:rPr>
                <w:b w:val="false"/>
                <w:bCs w:val="false"/>
                <w:sz w:val="17"/>
                <w:szCs w:val="17"/>
              </w:rPr>
              <w:t xml:space="preserve">UNFPA</w:t>
            </w:r>
          </w:p>
        </w:tc>
        <w:tc>
          <w:tcPr>
            <w:tcW w:type="dxa" w:w="2400"/>
            <w:shd w:fill="EEF2F6" w:val="clear"/>
            <w:tcMar>
              <w:top w:type="dxa" w:w="54"/>
              <w:left w:type="dxa" w:w="84"/>
              <w:bottom w:type="dxa" w:w="54"/>
              <w:right w:type="dxa" w:w="84"/>
            </w:tcMar>
          </w:tcPr>
          <w:p>
            <w:pPr>
              <w:spacing w:after="0" w:line="248"/>
              <w:jc w:val="left"/>
            </w:pPr>
            <w:r>
              <w:rPr>
                <w:b w:val="false"/>
                <w:bCs w:val="false"/>
                <w:sz w:val="17"/>
                <w:szCs w:val="17"/>
              </w:rPr>
              <w:t xml:space="preserve">Data portal / SDG API</w:t>
            </w:r>
          </w:p>
        </w:tc>
        <w:tc>
          <w:tcPr>
            <w:tcW w:type="dxa" w:w="3360"/>
            <w:shd w:fill="EEF2F6" w:val="clear"/>
            <w:tcMar>
              <w:top w:type="dxa" w:w="54"/>
              <w:left w:type="dxa" w:w="84"/>
              <w:bottom w:type="dxa" w:w="54"/>
              <w:right w:type="dxa" w:w="84"/>
            </w:tcMar>
          </w:tcPr>
          <w:p>
            <w:pPr>
              <w:spacing w:after="0" w:line="248"/>
              <w:jc w:val="left"/>
            </w:pPr>
            <w:r>
              <w:rPr>
                <w:b w:val="false"/>
                <w:bCs w:val="false"/>
                <w:sz w:val="17"/>
                <w:szCs w:val="17"/>
              </w:rPr>
              <w:t xml:space="preserve">Modern contraceptive prevalence, unmet need, adolescent birth rate, GBV</w:t>
            </w:r>
          </w:p>
        </w:tc>
        <w:tc>
          <w:tcPr>
            <w:tcW w:type="dxa" w:w="2100"/>
            <w:shd w:fill="EEF2F6" w:val="clear"/>
            <w:tcMar>
              <w:top w:type="dxa" w:w="54"/>
              <w:left w:type="dxa" w:w="84"/>
              <w:bottom w:type="dxa" w:w="54"/>
              <w:right w:type="dxa" w:w="84"/>
            </w:tcMar>
          </w:tcPr>
          <w:p>
            <w:pPr>
              <w:spacing w:after="0" w:line="248"/>
              <w:jc w:val="left"/>
            </w:pPr>
            <w:r>
              <w:rPr>
                <w:b w:val="false"/>
                <w:bCs w:val="false"/>
                <w:sz w:val="17"/>
                <w:szCs w:val="17"/>
              </w:rPr>
              <w:t xml:space="preserve">Open / portal</w:t>
            </w:r>
          </w:p>
        </w:tc>
      </w:tr>
      <w:tr>
        <w:tc>
          <w:tcPr>
            <w:tcW w:type="dxa" w:w="1500"/>
            <w:shd w:fill="FFFFFF" w:val="clear"/>
            <w:tcMar>
              <w:top w:type="dxa" w:w="54"/>
              <w:left w:type="dxa" w:w="84"/>
              <w:bottom w:type="dxa" w:w="54"/>
              <w:right w:type="dxa" w:w="84"/>
            </w:tcMar>
          </w:tcPr>
          <w:p>
            <w:pPr>
              <w:spacing w:after="0" w:line="248"/>
              <w:jc w:val="left"/>
            </w:pPr>
            <w:r>
              <w:rPr>
                <w:b w:val="false"/>
                <w:bCs w:val="false"/>
                <w:sz w:val="17"/>
                <w:szCs w:val="17"/>
              </w:rPr>
              <w:t xml:space="preserve">Supplementary</w:t>
            </w:r>
          </w:p>
        </w:tc>
        <w:tc>
          <w:tcPr>
            <w:tcW w:type="dxa" w:w="2400"/>
            <w:shd w:fill="FFFFFF" w:val="clear"/>
            <w:tcMar>
              <w:top w:type="dxa" w:w="54"/>
              <w:left w:type="dxa" w:w="84"/>
              <w:bottom w:type="dxa" w:w="54"/>
              <w:right w:type="dxa" w:w="84"/>
            </w:tcMar>
          </w:tcPr>
          <w:p>
            <w:pPr>
              <w:spacing w:after="0" w:line="248"/>
              <w:jc w:val="left"/>
            </w:pPr>
            <w:r>
              <w:rPr>
                <w:b w:val="false"/>
                <w:bCs w:val="false"/>
                <w:sz w:val="17"/>
                <w:szCs w:val="17"/>
              </w:rPr>
              <w:t xml:space="preserve">DHS/MICS; UNDP HDR; UNSD; WHO GHED</w:t>
            </w:r>
          </w:p>
        </w:tc>
        <w:tc>
          <w:tcPr>
            <w:tcW w:type="dxa" w:w="3360"/>
            <w:shd w:fill="FFFFFF" w:val="clear"/>
            <w:tcMar>
              <w:top w:type="dxa" w:w="54"/>
              <w:left w:type="dxa" w:w="84"/>
              <w:bottom w:type="dxa" w:w="54"/>
              <w:right w:type="dxa" w:w="84"/>
            </w:tcMar>
          </w:tcPr>
          <w:p>
            <w:pPr>
              <w:spacing w:after="0" w:line="248"/>
              <w:jc w:val="left"/>
            </w:pPr>
            <w:r>
              <w:rPr>
                <w:b w:val="false"/>
                <w:bCs w:val="false"/>
                <w:sz w:val="17"/>
                <w:szCs w:val="17"/>
              </w:rPr>
              <w:t xml:space="preserve">Survey coverage, Gender Inequality Index, CRVS completeness, health accounts</w:t>
            </w:r>
          </w:p>
        </w:tc>
        <w:tc>
          <w:tcPr>
            <w:tcW w:type="dxa" w:w="2100"/>
            <w:shd w:fill="FFFFFF" w:val="clear"/>
            <w:tcMar>
              <w:top w:type="dxa" w:w="54"/>
              <w:left w:type="dxa" w:w="84"/>
              <w:bottom w:type="dxa" w:w="54"/>
              <w:right w:type="dxa" w:w="84"/>
            </w:tcMar>
          </w:tcPr>
          <w:p>
            <w:pPr>
              <w:spacing w:after="0" w:line="248"/>
              <w:jc w:val="left"/>
            </w:pPr>
            <w:r>
              <w:rPr>
                <w:b w:val="false"/>
                <w:bCs w:val="false"/>
                <w:sz w:val="17"/>
                <w:szCs w:val="17"/>
              </w:rPr>
              <w:t xml:space="preserve">Mixed</w:t>
            </w:r>
          </w:p>
        </w:tc>
      </w:tr>
    </w:tbl>
    <w:p>
      <w:pPr>
        <w:spacing w:after="20" w:line="276"/>
        <w:jc w:val="both"/>
      </w:pPr>
      <w:r>
        <w:rPr>
          <w:b w:val="false"/>
          <w:bCs w:val="false"/>
          <w:i w:val="false"/>
          <w:iCs w:val="false"/>
        </w:rPr>
        <w:t xml:space="preserve"/>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Data governance</w:t>
            </w:r>
          </w:p>
          <w:p>
            <w:pPr>
              <w:spacing w:after="0" w:line="266"/>
              <w:jc w:val="both"/>
            </w:pPr>
            <w:r>
              <w:rPr>
                <w:sz w:val="19"/>
                <w:szCs w:val="19"/>
              </w:rPr>
              <w:t xml:space="preserve">Only aggregate, published country-level indicators are used — no individual records. Every landed dataset records its source, URL, fetch time and a version stamp, so any figure in the platform is traceable to a versioned pull. Committed panels are illustrative (synthetic-but-plausible) so the platform runs offline; production deployments replace them by running the mining pipeline against the live APIs above.</w:t>
            </w:r>
          </w:p>
        </w:tc>
      </w:tr>
    </w:tbl>
    <w:p>
      <w:r>
        <w:br w:type="page"/>
      </w:r>
    </w:p>
    <w:p>
      <w:pPr>
        <w:pStyle w:val="Heading1"/>
        <w:spacing w:after="140" w:before="320"/>
      </w:pPr>
      <w:r>
        <w:rPr>
          <w:b/>
          <w:bCs/>
          <w:color w:val="0B132B"/>
        </w:rPr>
        <w:t xml:space="preserve">5. Domain module specifications</w:t>
      </w:r>
    </w:p>
    <w:p>
      <w:pPr>
        <w:spacing w:after="120" w:line="276"/>
        <w:jc w:val="both"/>
      </w:pPr>
      <w:r>
        <w:rPr>
          <w:b w:val="false"/>
          <w:bCs w:val="false"/>
          <w:i w:val="false"/>
          <w:iCs w:val="false"/>
        </w:rPr>
        <w:t xml:space="preserve">Each domain is documented to a common template: purpose and outcome; principal risk factors and drivers; scenario levers; model specification with the governing relationship; evidence and effect sizes; and data sources. Chapters are concise by design — the shared engine, predictive framework and data pipeline in Sections 2–4 apply to every domain and are not repeated.</w:t>
      </w:r>
    </w:p>
    <w:p>
      <w:pPr>
        <w:pStyle w:val="Heading2"/>
        <w:spacing w:after="90" w:before="240"/>
      </w:pPr>
      <w:r>
        <w:rPr>
          <w:b/>
          <w:bCs/>
          <w:color w:val="1C2541"/>
        </w:rPr>
        <w:t xml:space="preserve">5.1 HIV</w:t>
      </w:r>
    </w:p>
    <w:p>
      <w:pPr>
        <w:spacing w:after="70" w:line="270"/>
      </w:pPr>
      <w:r>
        <w:rPr>
          <w:b/>
          <w:bCs/>
          <w:color w:val="1C7C74"/>
        </w:rPr>
        <w:t xml:space="preserve">Outcome. </w:t>
      </w:r>
      <w:r>
        <w:rPr>
          <w:sz w:val="20"/>
          <w:szCs w:val="20"/>
        </w:rPr>
        <w:t xml:space="preserve">HIV incidence (new infections per 1,000 uninfected adults 15–49); secondary: prevalence, AIDS mortality.</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Effective infectious prevalence (people living with HIV who are not virally suppressed).</w:t>
      </w:r>
    </w:p>
    <w:p>
      <w:pPr>
        <w:pStyle w:val="ListParagraph"/>
        <w:numPr>
          <w:ilvl w:val="0"/>
          <w:numId w:val="2"/>
        </w:numPr>
        <w:spacing w:after="60" w:line="264"/>
      </w:pPr>
      <w:r>
        <w:t xml:space="preserve">Treatment cascade: knowledge of status, ART coverage, viral-load suppression (95-95-95).</w:t>
      </w:r>
    </w:p>
    <w:p>
      <w:pPr>
        <w:pStyle w:val="ListParagraph"/>
        <w:numPr>
          <w:ilvl w:val="0"/>
          <w:numId w:val="2"/>
        </w:numPr>
        <w:spacing w:after="60" w:line="264"/>
      </w:pPr>
      <w:r>
        <w:t xml:space="preserve">Condom use, voluntary medical male circumcision (VMMC), PrEP, STI cofactor.</w:t>
      </w:r>
    </w:p>
    <w:p>
      <w:pPr>
        <w:pStyle w:val="ListParagraph"/>
        <w:numPr>
          <w:ilvl w:val="0"/>
          <w:numId w:val="2"/>
        </w:numPr>
        <w:spacing w:after="60" w:line="264"/>
      </w:pPr>
      <w:r>
        <w:t xml:space="preserve">Structural: female literacy, gender inequality, poverty, mobility.</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Know status / ART / viral suppression</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UNAIDS 95-95-95</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Condom use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≈80% per-act</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VMMC</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≈60% female→male (RCTs)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PrEP</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≈55% population</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STI prevalence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biological cofactor</w:t>
            </w:r>
          </w:p>
        </w:tc>
      </w:tr>
    </w:tbl>
    <w:p>
      <w:pPr>
        <w:spacing w:after="40" w:before="80"/>
      </w:pPr>
      <w:r>
        <w:rPr>
          <w:b/>
          <w:bCs/>
          <w:color w:val="1C7C74"/>
        </w:rPr>
        <w:t xml:space="preserve">Model specification. </w:t>
      </w:r>
      <w:r>
        <w:rPr>
          <w:sz w:val="20"/>
          <w:szCs w:val="20"/>
        </w:rPr>
        <w:t xml:space="preserve">Force-of-infection with treatment-as-prevention. Incidence is the observed baseline scaled by the relative change in the force of infection, where the effective infectious pool is prevalence × (1 − viral-suppression coverage × transmission-reduction), modified multiplicatively by condoms, VMMC, PrEP, STI cofactor and structural terms.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λ = β·c·I_eff·m_condom·m_vmmc·m_prep·m_sti·m_struct</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I_eff = prevalence·(1 − VLS·τ)</w:t>
      </w:r>
    </w:p>
    <w:p>
      <w:pPr>
        <w:spacing w:after="40" w:before="40" w:line="270"/>
      </w:pPr>
      <w:r>
        <w:rPr>
          <w:b/>
          <w:bCs/>
          <w:color w:val="1C7C74"/>
        </w:rPr>
        <w:t xml:space="preserve">Evidence &amp; effect sizes. </w:t>
      </w:r>
      <w:r>
        <w:rPr>
          <w:sz w:val="20"/>
          <w:szCs w:val="20"/>
        </w:rPr>
        <w:t xml:space="preserve">HPTN 052 / PARTNER (U=U, ~96% reduction on suppression); VMMC RCTs (Orange Farm, Kisumu, Rakai); condom and PrEP meta-analyses.</w:t>
      </w:r>
    </w:p>
    <w:p>
      <w:pPr>
        <w:spacing w:after="60" w:line="270"/>
      </w:pPr>
      <w:r>
        <w:rPr>
          <w:b/>
          <w:bCs/>
          <w:color w:val="1C7C74"/>
        </w:rPr>
        <w:t xml:space="preserve">Data sources. </w:t>
      </w:r>
      <w:r>
        <w:rPr>
          <w:sz w:val="20"/>
          <w:szCs w:val="20"/>
        </w:rPr>
        <w:t xml:space="preserve">UNAIDS AIDSinfo; WHO GHO; DHS/PHIA; World Bank (structural).</w:t>
      </w:r>
    </w:p>
    <w:p>
      <w:pPr>
        <w:pStyle w:val="Heading2"/>
        <w:spacing w:after="90" w:before="240"/>
      </w:pPr>
      <w:r>
        <w:rPr>
          <w:b/>
          <w:bCs/>
          <w:color w:val="1C2541"/>
        </w:rPr>
        <w:t xml:space="preserve">5.2 Maternal mortality</w:t>
      </w:r>
    </w:p>
    <w:p>
      <w:pPr>
        <w:spacing w:after="70" w:line="270"/>
      </w:pPr>
      <w:r>
        <w:rPr>
          <w:b/>
          <w:bCs/>
          <w:color w:val="1C7C74"/>
        </w:rPr>
        <w:t xml:space="preserve">Outcome. </w:t>
      </w:r>
      <w:r>
        <w:rPr>
          <w:sz w:val="20"/>
          <w:szCs w:val="20"/>
        </w:rPr>
        <w:t xml:space="preserve">Maternal mortality ratio (MMR, per 100,000 live births).</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Access to and quality of delivery care: skilled birth attendance, facility delivery, emergency obstetric care, caesarean availability, blood, referral.</w:t>
      </w:r>
    </w:p>
    <w:p>
      <w:pPr>
        <w:pStyle w:val="ListParagraph"/>
        <w:numPr>
          <w:ilvl w:val="0"/>
          <w:numId w:val="2"/>
        </w:numPr>
        <w:spacing w:after="60" w:line="264"/>
      </w:pPr>
      <w:r>
        <w:t xml:space="preserve">Antenatal care (ANC4), family planning / fertility, adolescent fertility.</w:t>
      </w:r>
    </w:p>
    <w:p>
      <w:pPr>
        <w:pStyle w:val="ListParagraph"/>
        <w:numPr>
          <w:ilvl w:val="0"/>
          <w:numId w:val="2"/>
        </w:numPr>
        <w:spacing w:after="60" w:line="264"/>
      </w:pPr>
      <w:r>
        <w:t xml:space="preserve">Structural: female literacy, poverty, rural access; comorbidities (HIV, malaria, anaemia); health financing and CRVS/HIS quality; shocks (conflict, floods).</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Skilled birth attendance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the three-delays framework</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ANC4 coverage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risk detection</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Emergency obstetric care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case-fatality</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Female literacy</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demand/agency</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Fertility / adolescent fertility</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exposure &amp; risk</w:t>
            </w:r>
          </w:p>
        </w:tc>
      </w:tr>
    </w:tbl>
    <w:p>
      <w:pPr>
        <w:spacing w:after="40" w:before="80"/>
      </w:pPr>
      <w:r>
        <w:rPr>
          <w:b/>
          <w:bCs/>
          <w:color w:val="1C7C74"/>
        </w:rPr>
        <w:t xml:space="preserve">Model specification. </w:t>
      </w:r>
      <w:r>
        <w:rPr>
          <w:sz w:val="20"/>
          <w:szCs w:val="20"/>
        </w:rPr>
        <w:t xml:space="preserve">Additive monotonic bootstrap model on log(MMR) with risk-oriented predictors (Section 3.2), scenario deltas anchored to the observed country MMR; complemented by an elasticity view. Integrates the deployed WHO AFRO maternal what-if model.</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log(MMR) = β₀ + Σⱼ βⱼ·sⱼ·xⱼ ,  βⱼ ≥ 0</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log(MMR_scen) = log(MMR_obs) + g·[f(x_scen) − f(x_base)]</w:t>
      </w:r>
    </w:p>
    <w:p>
      <w:pPr>
        <w:spacing w:after="40" w:before="40" w:line="270"/>
      </w:pPr>
      <w:r>
        <w:rPr>
          <w:b/>
          <w:bCs/>
          <w:color w:val="1C7C74"/>
        </w:rPr>
        <w:t xml:space="preserve">Evidence &amp; effect sizes. </w:t>
      </w:r>
      <w:r>
        <w:rPr>
          <w:sz w:val="20"/>
          <w:szCs w:val="20"/>
        </w:rPr>
        <w:t xml:space="preserve">Lancet maternal survival series; UN MMEIG estimation; effectiveness of skilled attendance and emergency obstetric care; family-planning contribution to averted maternal deaths.</w:t>
      </w:r>
    </w:p>
    <w:p>
      <w:pPr>
        <w:spacing w:after="60" w:line="270"/>
      </w:pPr>
      <w:r>
        <w:rPr>
          <w:b/>
          <w:bCs/>
          <w:color w:val="1C7C74"/>
        </w:rPr>
        <w:t xml:space="preserve">Data sources. </w:t>
      </w:r>
      <w:r>
        <w:rPr>
          <w:sz w:val="20"/>
          <w:szCs w:val="20"/>
        </w:rPr>
        <w:t xml:space="preserve">World Bank (SH.STA.MMRT, SH.STA.BRTC.ZS, SP.DYN.4ANTE.ZS…); WHO GHO; UNICEF; DHS/MICS.</w:t>
      </w:r>
    </w:p>
    <w:p>
      <w:pPr>
        <w:pStyle w:val="Heading2"/>
        <w:spacing w:after="90" w:before="240"/>
      </w:pPr>
      <w:r>
        <w:rPr>
          <w:b/>
          <w:bCs/>
          <w:color w:val="1C2541"/>
        </w:rPr>
        <w:t xml:space="preserve">5.3 Neonatal mortality</w:t>
      </w:r>
    </w:p>
    <w:p>
      <w:pPr>
        <w:spacing w:after="70" w:line="270"/>
      </w:pPr>
      <w:r>
        <w:rPr>
          <w:b/>
          <w:bCs/>
          <w:color w:val="1C7C74"/>
        </w:rPr>
        <w:t xml:space="preserve">Outcome. </w:t>
      </w:r>
      <w:r>
        <w:rPr>
          <w:sz w:val="20"/>
          <w:szCs w:val="20"/>
        </w:rPr>
        <w:t xml:space="preserve">Neonatal mortality rate (NMR, deaths 0–28 days per 1,000 live births).</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Intrapartum care and birth asphyxia management; preterm-birth and low-birthweight care (thermal care, kangaroo mother care, feeding support).</w:t>
      </w:r>
    </w:p>
    <w:p>
      <w:pPr>
        <w:pStyle w:val="ListParagraph"/>
        <w:numPr>
          <w:ilvl w:val="0"/>
          <w:numId w:val="2"/>
        </w:numPr>
        <w:spacing w:after="60" w:line="264"/>
      </w:pPr>
      <w:r>
        <w:t xml:space="preserve">Neonatal infection / sepsis prevention and treatment; clean birth; antenatal steroids; resuscitation.</w:t>
      </w:r>
    </w:p>
    <w:p>
      <w:pPr>
        <w:pStyle w:val="ListParagraph"/>
        <w:numPr>
          <w:ilvl w:val="0"/>
          <w:numId w:val="2"/>
        </w:numPr>
        <w:spacing w:after="60" w:line="264"/>
      </w:pPr>
      <w:r>
        <w:t xml:space="preserve">Maternal health and coverage of ANC and postnatal care; skilled attendance and facility readiness.</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Skilled attendance / EmONC</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intrapartum deaths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Newborn resuscitation</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asphyxia case-fatality</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Kangaroo mother care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preterm survival</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Neonatal sepsis management</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infection deaths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Postnatal care coverage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early detection</w:t>
            </w:r>
          </w:p>
        </w:tc>
      </w:tr>
    </w:tbl>
    <w:p>
      <w:pPr>
        <w:spacing w:after="40" w:before="80"/>
      </w:pPr>
      <w:r>
        <w:rPr>
          <w:b/>
          <w:bCs/>
          <w:color w:val="1C7C74"/>
        </w:rPr>
        <w:t xml:space="preserve">Model specification. </w:t>
      </w:r>
      <w:r>
        <w:rPr>
          <w:sz w:val="20"/>
          <w:szCs w:val="20"/>
        </w:rPr>
        <w:t xml:space="preserve">Cause-deletion (Lives-Saved-Tool style). Neonatal deaths are partitioned by cause (preterm, intrapartum-related, sepsis, other); for each intervention, deaths averted = cause-specific deaths × intervention effectiveness × affected fraction × change in coverage. NMR under scenario is the baseline NMR minus averted deaths per 1,000 live births.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ΔDeaths = Σ_causes Σ_int (D_cause · e_int · a_int · ΔC_int)</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NMR_scen = NMR_obs − ΔDeaths / (live births/1000)</w:t>
      </w:r>
    </w:p>
    <w:p>
      <w:pPr>
        <w:spacing w:after="40" w:before="40" w:line="270"/>
      </w:pPr>
      <w:r>
        <w:rPr>
          <w:b/>
          <w:bCs/>
          <w:color w:val="1C7C74"/>
        </w:rPr>
        <w:t xml:space="preserve">Evidence &amp; effect sizes. </w:t>
      </w:r>
      <w:r>
        <w:rPr>
          <w:sz w:val="20"/>
          <w:szCs w:val="20"/>
        </w:rPr>
        <w:t xml:space="preserve">LiST/CHERG cause-specific effectiveness; trials of kangaroo mother care, neonatal resuscitation, chlorhexidine, antenatal corticosteroids; WHO Every Newborn Action Plan.</w:t>
      </w:r>
    </w:p>
    <w:p>
      <w:pPr>
        <w:spacing w:after="60" w:line="270"/>
      </w:pPr>
      <w:r>
        <w:rPr>
          <w:b/>
          <w:bCs/>
          <w:color w:val="1C7C74"/>
        </w:rPr>
        <w:t xml:space="preserve">Data sources. </w:t>
      </w:r>
      <w:r>
        <w:rPr>
          <w:sz w:val="20"/>
          <w:szCs w:val="20"/>
        </w:rPr>
        <w:t xml:space="preserve">UN IGME (CME_MRM0); UNICEF SDMX; World Bank (SH.DYN.NMRT); WHO GHO; DHS.</w:t>
      </w:r>
    </w:p>
    <w:p>
      <w:pPr>
        <w:pStyle w:val="Heading2"/>
        <w:spacing w:after="90" w:before="240"/>
      </w:pPr>
      <w:r>
        <w:rPr>
          <w:b/>
          <w:bCs/>
          <w:color w:val="1C2541"/>
        </w:rPr>
        <w:t xml:space="preserve">5.4 Child mortality (1–59 months)</w:t>
      </w:r>
    </w:p>
    <w:p>
      <w:pPr>
        <w:spacing w:after="70" w:line="270"/>
      </w:pPr>
      <w:r>
        <w:rPr>
          <w:b/>
          <w:bCs/>
          <w:color w:val="1C7C74"/>
        </w:rPr>
        <w:t xml:space="preserve">Outcome. </w:t>
      </w:r>
      <w:r>
        <w:rPr>
          <w:sz w:val="20"/>
          <w:szCs w:val="20"/>
        </w:rPr>
        <w:t xml:space="preserve">Child mortality rate (deaths 1–59 months per 1,000 surviving to age 1; the post-infant component of under-five mortality).</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Vaccine-preventable disease control: measles, PCV (pneumonia), rotavirus, DTP3.</w:t>
      </w:r>
    </w:p>
    <w:p>
      <w:pPr>
        <w:pStyle w:val="ListParagraph"/>
        <w:numPr>
          <w:ilvl w:val="0"/>
          <w:numId w:val="2"/>
        </w:numPr>
        <w:spacing w:after="60" w:line="264"/>
      </w:pPr>
      <w:r>
        <w:t xml:space="preserve">Pneumonia and diarrhoea case management: careseeking, antibiotics, ORS and zinc.</w:t>
      </w:r>
    </w:p>
    <w:p>
      <w:pPr>
        <w:pStyle w:val="ListParagraph"/>
        <w:numPr>
          <w:ilvl w:val="0"/>
          <w:numId w:val="2"/>
        </w:numPr>
        <w:spacing w:after="60" w:line="264"/>
      </w:pPr>
      <w:r>
        <w:t xml:space="preserve">Malaria prevention and treatment (ITNs, ACTs, SMC); nutrition (stunting, wasting, vitamin A, breastfeeding); WASH; paediatric HIV.</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Immunisation (DTP3/measles/PCV/rota)</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VPD deaths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ORS + zinc / diarrhoea care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diarrhoeal deaths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Pneumonia case management</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ARI deaths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ITN use / malaria care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malaria deaths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Nutrition (vitamin A, breastfeeding)</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undernutrition-attributable</w:t>
            </w:r>
          </w:p>
        </w:tc>
      </w:tr>
    </w:tbl>
    <w:p>
      <w:pPr>
        <w:spacing w:after="40" w:before="80"/>
      </w:pPr>
      <w:r>
        <w:rPr>
          <w:b/>
          <w:bCs/>
          <w:color w:val="1C7C74"/>
        </w:rPr>
        <w:t xml:space="preserve">Model specification. </w:t>
      </w:r>
      <w:r>
        <w:rPr>
          <w:sz w:val="20"/>
          <w:szCs w:val="20"/>
        </w:rPr>
        <w:t xml:space="preserve">Cause-deletion (LiST style) over the 1–59 month cause structure (pneumonia, diarrhoea, malaria, measles, undernutrition-related, other), with the same deaths-averted accounting as neonatal, anchored to the observed child mortality rate.</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ΔDeaths = Σ_causes Σ_int (D_cause · e_int · a_int · ΔC_int)</w:t>
      </w:r>
    </w:p>
    <w:p>
      <w:pPr>
        <w:spacing w:after="40" w:before="40" w:line="270"/>
      </w:pPr>
      <w:r>
        <w:rPr>
          <w:b/>
          <w:bCs/>
          <w:color w:val="1C7C74"/>
        </w:rPr>
        <w:t xml:space="preserve">Evidence &amp; effect sizes. </w:t>
      </w:r>
      <w:r>
        <w:rPr>
          <w:sz w:val="20"/>
          <w:szCs w:val="20"/>
        </w:rPr>
        <w:t xml:space="preserve">CHERG/LiST intervention effects; ITN Cochrane review; PCV and rotavirus vaccine efficacy; ORS/zinc effectiveness; vitamin A meta-analyses.</w:t>
      </w:r>
    </w:p>
    <w:p>
      <w:pPr>
        <w:spacing w:after="60" w:line="270"/>
      </w:pPr>
      <w:r>
        <w:rPr>
          <w:b/>
          <w:bCs/>
          <w:color w:val="1C7C74"/>
        </w:rPr>
        <w:t xml:space="preserve">Data sources. </w:t>
      </w:r>
      <w:r>
        <w:rPr>
          <w:sz w:val="20"/>
          <w:szCs w:val="20"/>
        </w:rPr>
        <w:t xml:space="preserve">UN IGME; UNICEF SDMX (immunisation, nutrition, careseeking); World Bank; WHO GHO; DHS/MICS.</w:t>
      </w:r>
    </w:p>
    <w:p>
      <w:pPr>
        <w:pStyle w:val="Heading2"/>
        <w:spacing w:after="90" w:before="240"/>
      </w:pPr>
      <w:r>
        <w:rPr>
          <w:b/>
          <w:bCs/>
          <w:color w:val="1C2541"/>
        </w:rPr>
        <w:t xml:space="preserve">5.5 Under-five mortality</w:t>
      </w:r>
    </w:p>
    <w:p>
      <w:pPr>
        <w:spacing w:after="70" w:line="270"/>
      </w:pPr>
      <w:r>
        <w:rPr>
          <w:b/>
          <w:bCs/>
          <w:color w:val="1C7C74"/>
        </w:rPr>
        <w:t xml:space="preserve">Outcome. </w:t>
      </w:r>
      <w:r>
        <w:rPr>
          <w:sz w:val="20"/>
          <w:szCs w:val="20"/>
        </w:rPr>
        <w:t xml:space="preserve">Under-five mortality rate (U5MR, deaths before age 5 per 1,000 live births).</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Integrates the neonatal (0–28 days) and child (1–59 months) components; U5MR is combined from age-segment survival.</w:t>
      </w:r>
    </w:p>
    <w:p>
      <w:pPr>
        <w:pStyle w:val="ListParagraph"/>
        <w:numPr>
          <w:ilvl w:val="0"/>
          <w:numId w:val="2"/>
        </w:numPr>
        <w:spacing w:after="60" w:line="264"/>
      </w:pPr>
      <w:r>
        <w:t xml:space="preserve">All drivers of neonatal and child mortality apply; additionally cross-domain links to maternal health, SRHR (birth spacing), HIV (paediatric) and malaria.</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(inherits neonatal levers)</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segment 0–28 d</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(inherits child levers)</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segment 1–59 mo</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Birth spacing / met need FP</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cross-domain (SRHR)</w:t>
            </w:r>
          </w:p>
        </w:tc>
      </w:tr>
    </w:tbl>
    <w:p>
      <w:pPr>
        <w:spacing w:after="40" w:before="80"/>
      </w:pPr>
      <w:r>
        <w:rPr>
          <w:b/>
          <w:bCs/>
          <w:color w:val="1C7C74"/>
        </w:rPr>
        <w:t xml:space="preserve">Model specification. </w:t>
      </w:r>
      <w:r>
        <w:rPr>
          <w:sz w:val="20"/>
          <w:szCs w:val="20"/>
        </w:rPr>
        <w:t xml:space="preserve">Segment-combined survival. Under-five survival is the product of neonatal and post-neonatal survival probabilities; each segment is modelled by its own cause-deletion module, then recombined. This makes U5MR the natural integrating outcome for the child-survival modules and links to SRHR and maternal modules.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S_u5 = S_neonatal · S_1–59mo</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U5MR = 1000·(1 − S_u5)</w:t>
      </w:r>
    </w:p>
    <w:p>
      <w:pPr>
        <w:spacing w:after="40" w:before="40" w:line="270"/>
      </w:pPr>
      <w:r>
        <w:rPr>
          <w:b/>
          <w:bCs/>
          <w:color w:val="1C7C74"/>
        </w:rPr>
        <w:t xml:space="preserve">Evidence &amp; effect sizes. </w:t>
      </w:r>
      <w:r>
        <w:rPr>
          <w:sz w:val="20"/>
          <w:szCs w:val="20"/>
        </w:rPr>
        <w:t xml:space="preserve">UN IGME estimation methodology; LiST integrated child-survival modelling; Countdown to 2030 analyses.</w:t>
      </w:r>
    </w:p>
    <w:p>
      <w:pPr>
        <w:spacing w:after="60" w:line="270"/>
      </w:pPr>
      <w:r>
        <w:rPr>
          <w:b/>
          <w:bCs/>
          <w:color w:val="1C7C74"/>
        </w:rPr>
        <w:t xml:space="preserve">Data sources. </w:t>
      </w:r>
      <w:r>
        <w:rPr>
          <w:sz w:val="20"/>
          <w:szCs w:val="20"/>
        </w:rPr>
        <w:t xml:space="preserve">UN IGME (CME_MRY0T4); UNICEF; World Bank (SH.DYN.MORT); WHO GHO.</w:t>
      </w:r>
    </w:p>
    <w:p>
      <w:pPr>
        <w:pStyle w:val="Heading2"/>
        <w:spacing w:after="90" w:before="240"/>
      </w:pPr>
      <w:r>
        <w:rPr>
          <w:b/>
          <w:bCs/>
          <w:color w:val="1C2541"/>
        </w:rPr>
        <w:t xml:space="preserve">5.6 Universal Health Coverage (UHC)</w:t>
      </w:r>
    </w:p>
    <w:p>
      <w:pPr>
        <w:spacing w:after="70" w:line="270"/>
      </w:pPr>
      <w:r>
        <w:rPr>
          <w:b/>
          <w:bCs/>
          <w:color w:val="1C7C74"/>
        </w:rPr>
        <w:t xml:space="preserve">Outcome. </w:t>
      </w:r>
      <w:r>
        <w:rPr>
          <w:sz w:val="20"/>
          <w:szCs w:val="20"/>
        </w:rPr>
        <w:t xml:space="preserve">UHC service coverage index (0–100); financial protection: incidence of catastrophic health expenditure.</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Health financing: government health expenditure (% GDP), pooled prepayment, out-of-pocket share.</w:t>
      </w:r>
    </w:p>
    <w:p>
      <w:pPr>
        <w:pStyle w:val="ListParagraph"/>
        <w:numPr>
          <w:ilvl w:val="0"/>
          <w:numId w:val="2"/>
        </w:numPr>
        <w:spacing w:after="60" w:line="264"/>
      </w:pPr>
      <w:r>
        <w:t xml:space="preserve">Service inputs: health workforce density, essential medicines and diagnostics, facility density and access.</w:t>
      </w:r>
    </w:p>
    <w:p>
      <w:pPr>
        <w:pStyle w:val="ListParagraph"/>
        <w:numPr>
          <w:ilvl w:val="0"/>
          <w:numId w:val="2"/>
        </w:numPr>
        <w:spacing w:after="60" w:line="264"/>
      </w:pPr>
      <w:r>
        <w:t xml:space="preserve">Coverage of tracer services across RMNCH, infectious disease, NCD and service capacity.</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Government health expenditure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coverage &amp; protection</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Out-of-pocket share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catastrophic spending</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Workforce density</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service capacity</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Tracer service coverage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SCI components</w:t>
            </w:r>
          </w:p>
        </w:tc>
      </w:tr>
    </w:tbl>
    <w:p>
      <w:pPr>
        <w:spacing w:after="40" w:before="80"/>
      </w:pPr>
      <w:r>
        <w:rPr>
          <w:b/>
          <w:bCs/>
          <w:color w:val="1C7C74"/>
        </w:rPr>
        <w:t xml:space="preserve">Model specification. </w:t>
      </w:r>
      <w:r>
        <w:rPr>
          <w:sz w:val="20"/>
          <w:szCs w:val="20"/>
        </w:rPr>
        <w:t xml:space="preserve">Financing production function with diminishing returns for the service coverage index, plus a separate financial-protection model in which catastrophic-expenditure incidence rises with out-of-pocket share and falls as coverage and prepayment increase. The SCI is treated as a geometric mean of tracer sub-indices, consistent with WHO/World Bank UHC monitoring.</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SCI = f(financing, workforce, access), f′&gt;0, f″&lt;0</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SCI = (Π_k tracer_k)^(1/K)</w:t>
      </w:r>
    </w:p>
    <w:p>
      <w:pPr>
        <w:spacing w:after="40" w:before="40" w:line="270"/>
      </w:pPr>
      <w:r>
        <w:rPr>
          <w:b/>
          <w:bCs/>
          <w:color w:val="1C7C74"/>
        </w:rPr>
        <w:t xml:space="preserve">Evidence &amp; effect sizes. </w:t>
      </w:r>
      <w:r>
        <w:rPr>
          <w:sz w:val="20"/>
          <w:szCs w:val="20"/>
        </w:rPr>
        <w:t xml:space="preserve">WHO/World Bank UHC global monitoring reports; health-financing transition evidence; SDG 3.8.1/3.8.2 methodology.</w:t>
      </w:r>
    </w:p>
    <w:p>
      <w:pPr>
        <w:spacing w:after="60" w:line="270"/>
      </w:pPr>
      <w:r>
        <w:rPr>
          <w:b/>
          <w:bCs/>
          <w:color w:val="1C7C74"/>
        </w:rPr>
        <w:t xml:space="preserve">Data sources. </w:t>
      </w:r>
      <w:r>
        <w:rPr>
          <w:sz w:val="20"/>
          <w:szCs w:val="20"/>
        </w:rPr>
        <w:t xml:space="preserve">WHO GHO (UHC_INDEX_REPORTED); WHO GHED; World Bank (SH.XPD.GHED.GD.ZS, SH.XPD.OOPC.CH.ZS).</w:t>
      </w:r>
    </w:p>
    <w:p>
      <w:pPr>
        <w:pStyle w:val="Heading2"/>
        <w:spacing w:after="90" w:before="240"/>
      </w:pPr>
      <w:r>
        <w:rPr>
          <w:b/>
          <w:bCs/>
          <w:color w:val="1C2541"/>
        </w:rPr>
        <w:t xml:space="preserve">5.7 Tuberculosis (TB)</w:t>
      </w:r>
    </w:p>
    <w:p>
      <w:pPr>
        <w:spacing w:after="70" w:line="270"/>
      </w:pPr>
      <w:r>
        <w:rPr>
          <w:b/>
          <w:bCs/>
          <w:color w:val="1C7C74"/>
        </w:rPr>
        <w:t xml:space="preserve">Outcome. </w:t>
      </w:r>
      <w:r>
        <w:rPr>
          <w:sz w:val="20"/>
          <w:szCs w:val="20"/>
        </w:rPr>
        <w:t xml:space="preserve">TB incidence (per 100,000); secondary: TB mortality.</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Infectious pool and duration: case detection and treatment success shorten the infectious period.</w:t>
      </w:r>
    </w:p>
    <w:p>
      <w:pPr>
        <w:pStyle w:val="ListParagraph"/>
        <w:numPr>
          <w:ilvl w:val="0"/>
          <w:numId w:val="2"/>
        </w:numPr>
        <w:spacing w:after="60" w:line="264"/>
      </w:pPr>
      <w:r>
        <w:t xml:space="preserve">Preventive therapy (TPT) reduces reactivation; drug resistance lengthens infectiousness.</w:t>
      </w:r>
    </w:p>
    <w:p>
      <w:pPr>
        <w:pStyle w:val="ListParagraph"/>
        <w:numPr>
          <w:ilvl w:val="0"/>
          <w:numId w:val="2"/>
        </w:numPr>
        <w:spacing w:after="60" w:line="264"/>
      </w:pPr>
      <w:r>
        <w:t xml:space="preserve">Risk factors: HIV co-infection, undernutrition, diabetes, smoking, crowding/poverty.</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Case detection rate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shorten infectious period</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Treatment success rate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cure, reduce transmission</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TB preventive therapy</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reactivation</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Undernutrition / HIV control</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population risk</w:t>
            </w:r>
          </w:p>
        </w:tc>
      </w:tr>
    </w:tbl>
    <w:p>
      <w:pPr>
        <w:spacing w:after="40" w:before="80"/>
      </w:pPr>
      <w:r>
        <w:rPr>
          <w:b/>
          <w:bCs/>
          <w:color w:val="1C7C74"/>
        </w:rPr>
        <w:t xml:space="preserve">Model specification. </w:t>
      </w:r>
      <w:r>
        <w:rPr>
          <w:sz w:val="20"/>
          <w:szCs w:val="20"/>
        </w:rPr>
        <w:t xml:space="preserve">Transmission model in the Styblo/find–treat–cure tradition. Incidence scales with the prevalent infectious (undetected or unsuccessfully treated) pool; case detection and treatment success reduce the infectious duration D in the reproduction relationship, while TPT reduces the reactivation flux. Analogous to the HIV care cascade.</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R₀ ≈ β·c·D ;  D ↓ with detection × treatment success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incidence ∝ prevalent infectious pool</w:t>
      </w:r>
    </w:p>
    <w:p>
      <w:pPr>
        <w:spacing w:after="40" w:before="40" w:line="270"/>
      </w:pPr>
      <w:r>
        <w:rPr>
          <w:b/>
          <w:bCs/>
          <w:color w:val="1C7C74"/>
        </w:rPr>
        <w:t xml:space="preserve">Evidence &amp; effect sizes. </w:t>
      </w:r>
      <w:r>
        <w:rPr>
          <w:sz w:val="20"/>
          <w:szCs w:val="20"/>
        </w:rPr>
        <w:t xml:space="preserve">WHO Global TB reports; active case-finding trials (e.g. ZAMSTAR, ACT3); TPT efficacy trials; nutrition and HIV attributable fractions.</w:t>
      </w:r>
    </w:p>
    <w:p>
      <w:pPr>
        <w:spacing w:after="60" w:line="270"/>
      </w:pPr>
      <w:r>
        <w:rPr>
          <w:b/>
          <w:bCs/>
          <w:color w:val="1C7C74"/>
        </w:rPr>
        <w:t xml:space="preserve">Data sources. </w:t>
      </w:r>
      <w:r>
        <w:rPr>
          <w:sz w:val="20"/>
          <w:szCs w:val="20"/>
        </w:rPr>
        <w:t xml:space="preserve">WHO GTB (via GHO/World Bank SH.TBS.INCD); UNAIDS (HIV/TB); World Bank (risk factors).</w:t>
      </w:r>
    </w:p>
    <w:p>
      <w:pPr>
        <w:pStyle w:val="Heading2"/>
        <w:spacing w:after="90" w:before="240"/>
      </w:pPr>
      <w:r>
        <w:rPr>
          <w:b/>
          <w:bCs/>
          <w:color w:val="1C2541"/>
        </w:rPr>
        <w:t xml:space="preserve">5.8 Malaria</w:t>
      </w:r>
    </w:p>
    <w:p>
      <w:pPr>
        <w:spacing w:after="70" w:line="270"/>
      </w:pPr>
      <w:r>
        <w:rPr>
          <w:b/>
          <w:bCs/>
          <w:color w:val="1C7C74"/>
        </w:rPr>
        <w:t xml:space="preserve">Outcome. </w:t>
      </w:r>
      <w:r>
        <w:rPr>
          <w:sz w:val="20"/>
          <w:szCs w:val="20"/>
        </w:rPr>
        <w:t xml:space="preserve">Malaria incidence (per 1,000 population at risk); secondary: malaria mortality.</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Vector control: insecticide-treated nets (ITNs) and indoor residual spraying (IRS).</w:t>
      </w:r>
    </w:p>
    <w:p>
      <w:pPr>
        <w:pStyle w:val="ListParagraph"/>
        <w:numPr>
          <w:ilvl w:val="0"/>
          <w:numId w:val="2"/>
        </w:numPr>
        <w:spacing w:after="60" w:line="264"/>
      </w:pPr>
      <w:r>
        <w:t xml:space="preserve">Chemoprevention: seasonal malaria chemoprevention (SMC), IPTp; malaria vaccines (RTS,S/R21).</w:t>
      </w:r>
    </w:p>
    <w:p>
      <w:pPr>
        <w:pStyle w:val="ListParagraph"/>
        <w:numPr>
          <w:ilvl w:val="0"/>
          <w:numId w:val="2"/>
        </w:numPr>
        <w:spacing w:after="60" w:line="264"/>
      </w:pPr>
      <w:r>
        <w:t xml:space="preserve">Case management (ACTs); vector insecticide resistance; climatic/environmental suitability.</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ITN coverage / use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~50% clinical reduction</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IRS coverage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vectorial capacity</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SMC / chemoprevention</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~75% in eligible areas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Malaria vaccine coverage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~30–75% by product</w:t>
            </w:r>
          </w:p>
        </w:tc>
      </w:tr>
    </w:tbl>
    <w:p>
      <w:pPr>
        <w:spacing w:after="40" w:before="80"/>
      </w:pPr>
      <w:r>
        <w:rPr>
          <w:b/>
          <w:bCs/>
          <w:color w:val="1C7C74"/>
        </w:rPr>
        <w:t xml:space="preserve">Model specification. </w:t>
      </w:r>
      <w:r>
        <w:rPr>
          <w:sz w:val="20"/>
          <w:szCs w:val="20"/>
        </w:rPr>
        <w:t xml:space="preserve">Ross–Macdonald-informed reduction of the entomological inoculation rate / vectorial capacity. Incidence is the baseline scaled by multiplicative reductions from ITNs, IRS, chemoprevention and vaccination, mirroring the combination-prevention structure used for HIV.</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incidence = baseline · m_ITN · m_IRS · m_chemoprev · m_vaccine</w:t>
      </w:r>
    </w:p>
    <w:p>
      <w:pPr>
        <w:spacing w:after="40" w:before="40" w:line="270"/>
      </w:pPr>
      <w:r>
        <w:rPr>
          <w:b/>
          <w:bCs/>
          <w:color w:val="1C7C74"/>
        </w:rPr>
        <w:t xml:space="preserve">Evidence &amp; effect sizes. </w:t>
      </w:r>
      <w:r>
        <w:rPr>
          <w:sz w:val="20"/>
          <w:szCs w:val="20"/>
        </w:rPr>
        <w:t xml:space="preserve">Cochrane ITN review (Lengeler); attribution analyses of intervention scale-up; SMC and RTS,S/R21 trial efficacy.</w:t>
      </w:r>
    </w:p>
    <w:p>
      <w:pPr>
        <w:spacing w:after="60" w:line="270"/>
      </w:pPr>
      <w:r>
        <w:rPr>
          <w:b/>
          <w:bCs/>
          <w:color w:val="1C7C74"/>
        </w:rPr>
        <w:t xml:space="preserve">Data sources. </w:t>
      </w:r>
      <w:r>
        <w:rPr>
          <w:sz w:val="20"/>
          <w:szCs w:val="20"/>
        </w:rPr>
        <w:t xml:space="preserve">WHO Global Malaria Programme (via World Bank SH.MLR.INCD.P3; ITN SH.MLR.NETS.ZS); WHO GHO; DHS/MIS.</w:t>
      </w:r>
    </w:p>
    <w:p>
      <w:pPr>
        <w:pStyle w:val="Heading2"/>
        <w:spacing w:after="90" w:before="240"/>
      </w:pPr>
      <w:r>
        <w:rPr>
          <w:b/>
          <w:bCs/>
          <w:color w:val="1C2541"/>
        </w:rPr>
        <w:t xml:space="preserve">5.9 Non-communicable diseases (NCD)</w:t>
      </w:r>
    </w:p>
    <w:p>
      <w:pPr>
        <w:spacing w:after="70" w:line="270"/>
      </w:pPr>
      <w:r>
        <w:rPr>
          <w:b/>
          <w:bCs/>
          <w:color w:val="1C7C74"/>
        </w:rPr>
        <w:t xml:space="preserve">Outcome. </w:t>
      </w:r>
      <w:r>
        <w:rPr>
          <w:sz w:val="20"/>
          <w:szCs w:val="20"/>
        </w:rPr>
        <w:t xml:space="preserve">Unconditional probability of dying between ages 30 and 70 from CVD, cancer, diabetes or chronic respiratory disease (SDG 3.4).</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Behavioural risk factors: tobacco use, harmful alcohol, physical inactivity, unhealthy diet (salt).</w:t>
      </w:r>
    </w:p>
    <w:p>
      <w:pPr>
        <w:pStyle w:val="ListParagraph"/>
        <w:numPr>
          <w:ilvl w:val="0"/>
          <w:numId w:val="2"/>
        </w:numPr>
        <w:spacing w:after="60" w:line="264"/>
      </w:pPr>
      <w:r>
        <w:t xml:space="preserve">Metabolic risk factors: raised blood pressure, raised blood glucose, obesity.</w:t>
      </w:r>
    </w:p>
    <w:p>
      <w:pPr>
        <w:pStyle w:val="ListParagraph"/>
        <w:numPr>
          <w:ilvl w:val="0"/>
          <w:numId w:val="2"/>
        </w:numPr>
        <w:spacing w:after="60" w:line="264"/>
      </w:pPr>
      <w:r>
        <w:t xml:space="preserve">Service coverage: hypertension and diabetes treatment and control.</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Tobacco prevalence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MPOWER best buys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Mean population salt / blood pressure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CVD risk</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Hypertension treatment &amp; control</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HEARTS</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Harmful alcohol / inactivity</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attributable burden</w:t>
            </w:r>
          </w:p>
        </w:tc>
      </w:tr>
    </w:tbl>
    <w:p>
      <w:pPr>
        <w:spacing w:after="40" w:before="80"/>
      </w:pPr>
      <w:r>
        <w:rPr>
          <w:b/>
          <w:bCs/>
          <w:color w:val="1C7C74"/>
        </w:rPr>
        <w:t xml:space="preserve">Model specification. </w:t>
      </w:r>
      <w:r>
        <w:rPr>
          <w:sz w:val="20"/>
          <w:szCs w:val="20"/>
        </w:rPr>
        <w:t xml:space="preserve">Comparative risk assessment. Attributable premature mortality is driven by risk-factor prevalence and relative risks through population attributable fractions; interventions reduce risk-factor prevalence (or raise treatment/control) and thus the PAF.</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PAF = Σ p_i(RR_i − 1) / [1 + Σ p_i(RR_i − 1)]</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mortality_attributable = mortality_total · PAF</w:t>
      </w:r>
    </w:p>
    <w:p>
      <w:pPr>
        <w:spacing w:after="40" w:before="40" w:line="270"/>
      </w:pPr>
      <w:r>
        <w:rPr>
          <w:b/>
          <w:bCs/>
          <w:color w:val="1C7C74"/>
        </w:rPr>
        <w:t xml:space="preserve">Evidence &amp; effect sizes. </w:t>
      </w:r>
      <w:r>
        <w:rPr>
          <w:sz w:val="20"/>
          <w:szCs w:val="20"/>
        </w:rPr>
        <w:t xml:space="preserve">Global Burden of Disease relative risks; WHO 'best buys'; MPOWER tobacco measures; HEARTS hypertension package; salt-reduction trials.</w:t>
      </w:r>
    </w:p>
    <w:p>
      <w:pPr>
        <w:spacing w:after="60" w:line="270"/>
      </w:pPr>
      <w:r>
        <w:rPr>
          <w:b/>
          <w:bCs/>
          <w:color w:val="1C7C74"/>
        </w:rPr>
        <w:t xml:space="preserve">Data sources. </w:t>
      </w:r>
      <w:r>
        <w:rPr>
          <w:sz w:val="20"/>
          <w:szCs w:val="20"/>
        </w:rPr>
        <w:t xml:space="preserve">WHO GHO (NCDMORT3070; STEPS risk factors); World Bank; country STEPS surveys.</w:t>
      </w:r>
    </w:p>
    <w:p>
      <w:pPr>
        <w:pStyle w:val="Heading2"/>
        <w:spacing w:after="90" w:before="240"/>
      </w:pPr>
      <w:r>
        <w:rPr>
          <w:b/>
          <w:bCs/>
          <w:color w:val="1C2541"/>
        </w:rPr>
        <w:t xml:space="preserve">5.10 Sexual &amp; reproductive health and rights (SRHR)</w:t>
      </w:r>
    </w:p>
    <w:p>
      <w:pPr>
        <w:spacing w:after="70" w:line="270"/>
      </w:pPr>
      <w:r>
        <w:rPr>
          <w:b/>
          <w:bCs/>
          <w:color w:val="1C7C74"/>
        </w:rPr>
        <w:t xml:space="preserve">Outcome. </w:t>
      </w:r>
      <w:r>
        <w:rPr>
          <w:sz w:val="20"/>
          <w:szCs w:val="20"/>
        </w:rPr>
        <w:t xml:space="preserve">Modern contraceptive prevalence and unmet need for family planning; downstream unintended pregnancies and maternal/newborn deaths averted.</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Contraceptive access, method mix, supply security, and quality of counselling.</w:t>
      </w:r>
    </w:p>
    <w:p>
      <w:pPr>
        <w:pStyle w:val="ListParagraph"/>
        <w:numPr>
          <w:ilvl w:val="0"/>
          <w:numId w:val="2"/>
        </w:numPr>
        <w:spacing w:after="60" w:line="264"/>
      </w:pPr>
      <w:r>
        <w:t xml:space="preserve">Demand generation, adolescent-friendly services, girls' education and autonomy.</w:t>
      </w:r>
    </w:p>
    <w:p>
      <w:pPr>
        <w:pStyle w:val="ListParagraph"/>
        <w:numPr>
          <w:ilvl w:val="0"/>
          <w:numId w:val="2"/>
        </w:numPr>
        <w:spacing w:after="60" w:line="264"/>
      </w:pPr>
      <w:r>
        <w:t xml:space="preserve">Cost and financial barriers; gender norms and gender-based violence.</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Modern contraceptive prevalence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demand satisfied</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Unmet need</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gap to close</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Adolescent birth rate</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high-risk exposure</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Girls' education / autonomy</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structural</w:t>
            </w:r>
          </w:p>
        </w:tc>
      </w:tr>
    </w:tbl>
    <w:p>
      <w:pPr>
        <w:spacing w:after="40" w:before="80"/>
      </w:pPr>
      <w:r>
        <w:rPr>
          <w:b/>
          <w:bCs/>
          <w:color w:val="1C7C74"/>
        </w:rPr>
        <w:t xml:space="preserve">Model specification. </w:t>
      </w:r>
      <w:r>
        <w:rPr>
          <w:sz w:val="20"/>
          <w:szCs w:val="20"/>
        </w:rPr>
        <w:t xml:space="preserve">Demand-satisfied impact chain (Adding-It-Up tradition). Additional modern contraceptive users avert a quantifiable number of unintended pregnancies; averted unintended pregnancies translate into averted unsafe abortions, maternal deaths and newborn deaths, linking SRHR to the maternal and child-survival modules.</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pregnancies_averted = Δusers · (1 − use-failure) · fecundability factor</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deaths_averted = pregnancies_averted · risk per pregnancy</w:t>
      </w:r>
    </w:p>
    <w:p>
      <w:pPr>
        <w:spacing w:after="40" w:before="40" w:line="270"/>
      </w:pPr>
      <w:r>
        <w:rPr>
          <w:b/>
          <w:bCs/>
          <w:color w:val="1C7C74"/>
        </w:rPr>
        <w:t xml:space="preserve">Evidence &amp; effect sizes. </w:t>
      </w:r>
      <w:r>
        <w:rPr>
          <w:sz w:val="20"/>
          <w:szCs w:val="20"/>
        </w:rPr>
        <w:t xml:space="preserve">Guttmacher 'Adding It Up'; FP2030; Lancet family-planning series; DHS unmet-need methodology.</w:t>
      </w:r>
    </w:p>
    <w:p>
      <w:pPr>
        <w:spacing w:after="60" w:line="270"/>
      </w:pPr>
      <w:r>
        <w:rPr>
          <w:b/>
          <w:bCs/>
          <w:color w:val="1C7C74"/>
        </w:rPr>
        <w:t xml:space="preserve">Data sources. </w:t>
      </w:r>
      <w:r>
        <w:rPr>
          <w:sz w:val="20"/>
          <w:szCs w:val="20"/>
        </w:rPr>
        <w:t xml:space="preserve">UNFPA; World Bank (SP.DYN.CONM.ZS); UNICEF; DHS/MICS.</w:t>
      </w:r>
    </w:p>
    <w:p>
      <w:pPr>
        <w:pStyle w:val="Heading2"/>
        <w:spacing w:after="90" w:before="240"/>
      </w:pPr>
      <w:r>
        <w:rPr>
          <w:b/>
          <w:bCs/>
          <w:color w:val="1C2541"/>
        </w:rPr>
        <w:t xml:space="preserve">5.11 Routine health information systems (RHIS)</w:t>
      </w:r>
    </w:p>
    <w:p>
      <w:pPr>
        <w:spacing w:after="70" w:line="270"/>
      </w:pPr>
      <w:r>
        <w:rPr>
          <w:b/>
          <w:bCs/>
          <w:color w:val="1C7C74"/>
        </w:rPr>
        <w:t xml:space="preserve">Outcome. </w:t>
      </w:r>
      <w:r>
        <w:rPr>
          <w:sz w:val="20"/>
          <w:szCs w:val="20"/>
        </w:rPr>
        <w:t xml:space="preserve">RHIS performance index — data quality (completeness, timeliness, accuracy) and data use.</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Technical determinants: indicator definitions, data-collection tools, DHIS2 configuration, data-quality assurance.</w:t>
      </w:r>
    </w:p>
    <w:p>
      <w:pPr>
        <w:pStyle w:val="ListParagraph"/>
        <w:numPr>
          <w:ilvl w:val="0"/>
          <w:numId w:val="2"/>
        </w:numPr>
        <w:spacing w:after="60" w:line="264"/>
      </w:pPr>
      <w:r>
        <w:t xml:space="preserve">Organisational determinants: governance, supervision, feedback, resources.</w:t>
      </w:r>
    </w:p>
    <w:p>
      <w:pPr>
        <w:pStyle w:val="ListParagraph"/>
        <w:numPr>
          <w:ilvl w:val="0"/>
          <w:numId w:val="2"/>
        </w:numPr>
        <w:spacing w:after="60" w:line="264"/>
      </w:pPr>
      <w:r>
        <w:t xml:space="preserve">Behavioural determinants: staff confidence, competence and a culture of information use (PRISM framework).</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Reporting completeness</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data availability</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Data-quality assurance / DQR</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accuracy</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Supervision &amp; feedback</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organisational</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Information-use culture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behavioural</w:t>
            </w:r>
          </w:p>
        </w:tc>
      </w:tr>
    </w:tbl>
    <w:p>
      <w:pPr>
        <w:spacing w:after="40" w:before="80"/>
      </w:pPr>
      <w:r>
        <w:rPr>
          <w:b/>
          <w:bCs/>
          <w:color w:val="1C7C74"/>
        </w:rPr>
        <w:t xml:space="preserve">Model specification. </w:t>
      </w:r>
      <w:r>
        <w:rPr>
          <w:sz w:val="20"/>
          <w:szCs w:val="20"/>
        </w:rPr>
        <w:t xml:space="preserve">Composite weighted index derived from the PRISM framework. The overall functionality score is a weighted combination of technical, organisational and behavioural determinant sub-scores; interventions raise specific sub-scores and thus the index. Not a transmission model — a maturity/functionality model.</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RHIS_index = Σ_d w_d · subscore_d ,  Σ w_d = 1</w:t>
      </w:r>
    </w:p>
    <w:p>
      <w:pPr>
        <w:spacing w:after="40" w:before="40" w:line="270"/>
      </w:pPr>
      <w:r>
        <w:rPr>
          <w:b/>
          <w:bCs/>
          <w:color w:val="1C7C74"/>
        </w:rPr>
        <w:t xml:space="preserve">Evidence &amp; effect sizes. </w:t>
      </w:r>
      <w:r>
        <w:rPr>
          <w:sz w:val="20"/>
          <w:szCs w:val="20"/>
        </w:rPr>
        <w:t xml:space="preserve">PRISM framework (Aqil et al.); MEASURE Evaluation RHIS assessments; WHO Data Quality Review toolkit; DHIS2 implementation literature.</w:t>
      </w:r>
    </w:p>
    <w:p>
      <w:pPr>
        <w:spacing w:after="60" w:line="270"/>
      </w:pPr>
      <w:r>
        <w:rPr>
          <w:b/>
          <w:bCs/>
          <w:color w:val="1C7C74"/>
        </w:rPr>
        <w:t xml:space="preserve">Data sources. </w:t>
      </w:r>
      <w:r>
        <w:rPr>
          <w:sz w:val="20"/>
          <w:szCs w:val="20"/>
        </w:rPr>
        <w:t xml:space="preserve">DHIS2 (country instances); WHO DQR; HIS assessments.</w:t>
      </w:r>
    </w:p>
    <w:p>
      <w:pPr>
        <w:pStyle w:val="Heading2"/>
        <w:spacing w:after="90" w:before="240"/>
      </w:pPr>
      <w:r>
        <w:rPr>
          <w:b/>
          <w:bCs/>
          <w:color w:val="1C2541"/>
        </w:rPr>
        <w:t xml:space="preserve">5.12 Digital health</w:t>
      </w:r>
    </w:p>
    <w:p>
      <w:pPr>
        <w:spacing w:after="70" w:line="270"/>
      </w:pPr>
      <w:r>
        <w:rPr>
          <w:b/>
          <w:bCs/>
          <w:color w:val="1C7C74"/>
        </w:rPr>
        <w:t xml:space="preserve">Outcome. </w:t>
      </w:r>
      <w:r>
        <w:rPr>
          <w:sz w:val="20"/>
          <w:szCs w:val="20"/>
        </w:rPr>
        <w:t xml:space="preserve">Digital health maturity index across governance, strategy, legislation, workforce, standards/interoperability and services.</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Leadership and governance; strategy and investment; legislation, policy and compliance.</w:t>
      </w:r>
    </w:p>
    <w:p>
      <w:pPr>
        <w:pStyle w:val="ListParagraph"/>
        <w:numPr>
          <w:ilvl w:val="0"/>
          <w:numId w:val="2"/>
        </w:numPr>
        <w:spacing w:after="60" w:line="264"/>
      </w:pPr>
      <w:r>
        <w:t xml:space="preserve">Workforce capacity; standards and interoperability (e.g. HL7 FHIR); infrastructure.</w:t>
      </w:r>
    </w:p>
    <w:p>
      <w:pPr>
        <w:pStyle w:val="ListParagraph"/>
        <w:numPr>
          <w:ilvl w:val="0"/>
          <w:numId w:val="2"/>
        </w:numPr>
        <w:spacing w:after="60" w:line="264"/>
      </w:pPr>
      <w:r>
        <w:t xml:space="preserve">Deployed digital health services and their scale.</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Governance &amp; strategy maturity</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enabling environment</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Interoperability / standards</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data exchange</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Workforce capacity</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sustainability</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Service deployment &amp; scale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impact</w:t>
            </w:r>
          </w:p>
        </w:tc>
      </w:tr>
    </w:tbl>
    <w:p>
      <w:pPr>
        <w:spacing w:after="40" w:before="80"/>
      </w:pPr>
      <w:r>
        <w:rPr>
          <w:b/>
          <w:bCs/>
          <w:color w:val="1C7C74"/>
        </w:rPr>
        <w:t xml:space="preserve">Model specification. </w:t>
      </w:r>
      <w:r>
        <w:rPr>
          <w:sz w:val="20"/>
          <w:szCs w:val="20"/>
        </w:rPr>
        <w:t xml:space="preserve">Composite maturity model (Global Digital Health Index tradition), scoring each domain on an ordinal maturity scale and combining into an overall index. Digital maturity additionally acts as an enabler multiplier on other modules (for example improving RHIS data quality and service coverage).</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DH_index = (1/D) Σ_d maturity_d  (ordinal 1–5)</w:t>
      </w:r>
    </w:p>
    <w:p>
      <w:pPr>
        <w:spacing w:after="40" w:before="40" w:line="270"/>
      </w:pPr>
      <w:r>
        <w:rPr>
          <w:b/>
          <w:bCs/>
          <w:color w:val="1C7C74"/>
        </w:rPr>
        <w:t xml:space="preserve">Evidence &amp; effect sizes. </w:t>
      </w:r>
      <w:r>
        <w:rPr>
          <w:sz w:val="20"/>
          <w:szCs w:val="20"/>
        </w:rPr>
        <w:t xml:space="preserve">Global Digital Health Index; WHO Global Strategy on Digital Health 2020–2025; WHO–ITU frameworks; interoperability standards.</w:t>
      </w:r>
    </w:p>
    <w:p>
      <w:pPr>
        <w:spacing w:after="60" w:line="270"/>
      </w:pPr>
      <w:r>
        <w:rPr>
          <w:b/>
          <w:bCs/>
          <w:color w:val="1C7C74"/>
        </w:rPr>
        <w:t xml:space="preserve">Data sources. </w:t>
      </w:r>
      <w:r>
        <w:rPr>
          <w:sz w:val="20"/>
          <w:szCs w:val="20"/>
        </w:rPr>
        <w:t xml:space="preserve">Global Digital Health Index; WHO digital health assessments; country strategies.</w:t>
      </w:r>
    </w:p>
    <w:p>
      <w:pPr>
        <w:pStyle w:val="Heading2"/>
        <w:spacing w:after="90" w:before="240"/>
      </w:pPr>
      <w:r>
        <w:rPr>
          <w:b/>
          <w:bCs/>
          <w:color w:val="1C2541"/>
        </w:rPr>
        <w:t xml:space="preserve">5.13 SDG 3 attainment</w:t>
      </w:r>
    </w:p>
    <w:p>
      <w:pPr>
        <w:spacing w:after="70" w:line="270"/>
      </w:pPr>
      <w:r>
        <w:rPr>
          <w:b/>
          <w:bCs/>
          <w:color w:val="1C7C74"/>
        </w:rPr>
        <w:t xml:space="preserve">Outcome. </w:t>
      </w:r>
      <w:r>
        <w:rPr>
          <w:sz w:val="20"/>
          <w:szCs w:val="20"/>
        </w:rPr>
        <w:t xml:space="preserve">Composite SDG 3 attainment and, per target, the gap to the 2030 goal and on-/off-track status.</w:t>
      </w:r>
    </w:p>
    <w:p>
      <w:pPr>
        <w:spacing w:after="40"/>
      </w:pPr>
      <w:r>
        <w:rPr>
          <w:b/>
          <w:bCs/>
          <w:color w:val="1C7C74"/>
          <w:sz w:val="20"/>
          <w:szCs w:val="20"/>
        </w:rPr>
        <w:t xml:space="preserve">Principal drivers and risk factors</w:t>
      </w:r>
    </w:p>
    <w:p>
      <w:pPr>
        <w:pStyle w:val="ListParagraph"/>
        <w:numPr>
          <w:ilvl w:val="0"/>
          <w:numId w:val="2"/>
        </w:numPr>
        <w:spacing w:after="60" w:line="264"/>
      </w:pPr>
      <w:r>
        <w:t xml:space="preserve">The constituent SDG 3 indicators produced by the other modules: maternal, neonatal and under-five mortality; HIV, TB and malaria incidence; NCD premature mortality; UHC service coverage.</w:t>
      </w:r>
    </w:p>
    <w:p>
      <w:pPr>
        <w:pStyle w:val="ListParagraph"/>
        <w:numPr>
          <w:ilvl w:val="0"/>
          <w:numId w:val="2"/>
        </w:numPr>
        <w:spacing w:after="60" w:line="264"/>
      </w:pPr>
      <w:r>
        <w:t xml:space="preserve">Rate of progress relative to the pace required to reach each 2030 target.</w:t>
      </w:r>
    </w:p>
    <w:p>
      <w:pPr>
        <w:spacing w:after="40" w:before="60"/>
      </w:pPr>
      <w:r>
        <w:rPr>
          <w:b/>
          <w:bCs/>
          <w:color w:val="1C7C74"/>
          <w:sz w:val="20"/>
          <w:szCs w:val="20"/>
        </w:rPr>
        <w:t xml:space="preserve">Scenario levers</w:t>
      </w:r>
    </w:p>
    <w:tbl>
      <w:tblPr>
        <w:tblW w:type="dxa" w:w="9360"/>
        <w:tblBorders>
          <w:top w:val="single" w:color="334155" w:sz="4"/>
          <w:left w:val="single" w:color="D9E2EC" w:sz="2"/>
          <w:bottom w:val="single" w:color="334155" w:sz="4"/>
          <w:right w:val="single" w:color="D9E2EC" w:sz="2"/>
          <w:insideH w:val="single" w:color="D9E2EC" w:sz="2"/>
          <w:insideV w:val="single" w:color="D9E2EC" w:sz="2"/>
        </w:tblBorders>
      </w:tblPr>
      <w:tblGrid>
        <w:gridCol w:w="4300"/>
        <w:gridCol w:w="1400"/>
        <w:gridCol w:w="3660"/>
      </w:tblGrid>
      <w:tr>
        <w:trPr>
          <w:tblHeader/>
        </w:trPr>
        <w:tc>
          <w:tcPr>
            <w:tcW w:type="dxa" w:w="4300"/>
            <w:shd w:fill="0B132B" w:val="clear"/>
            <w:tcMar>
              <w:top w:type="dxa" w:w="54"/>
              <w:left w:type="dxa" w:w="84"/>
              <w:bottom w:type="dxa" w:w="54"/>
              <w:right w:type="dxa" w:w="84"/>
            </w:tcMar>
          </w:tcPr>
          <w:p>
            <w:pPr>
              <w:spacing w:after="0" w:line="248"/>
              <w:jc w:val="left"/>
            </w:pPr>
            <w:r>
              <w:rPr>
                <w:b/>
                <w:bCs/>
                <w:color w:val="FFFFFF"/>
                <w:sz w:val="17"/>
                <w:szCs w:val="17"/>
              </w:rPr>
              <w:t xml:space="preserve">Lever</w:t>
            </w:r>
          </w:p>
        </w:tc>
        <w:tc>
          <w:tcPr>
            <w:tcW w:type="dxa" w:w="1400"/>
            <w:shd w:fill="0B132B" w:val="clear"/>
            <w:tcMar>
              <w:top w:type="dxa" w:w="54"/>
              <w:left w:type="dxa" w:w="84"/>
              <w:bottom w:type="dxa" w:w="54"/>
              <w:right w:type="dxa" w:w="84"/>
            </w:tcMar>
          </w:tcPr>
          <w:p>
            <w:pPr>
              <w:spacing w:after="0" w:line="248"/>
              <w:jc w:val="left"/>
            </w:pPr>
            <w:r>
              <w:rPr>
                <w:b/>
                <w:bCs/>
                <w:color w:val="FFFFFF"/>
                <w:sz w:val="17"/>
                <w:szCs w:val="17"/>
              </w:rPr>
              <w:t xml:space="preserve">On outcome</w:t>
            </w:r>
          </w:p>
        </w:tc>
        <w:tc>
          <w:tcPr>
            <w:tcW w:type="dxa" w:w="3660"/>
            <w:shd w:fill="0B132B" w:val="clear"/>
            <w:tcMar>
              <w:top w:type="dxa" w:w="54"/>
              <w:left w:type="dxa" w:w="84"/>
              <w:bottom w:type="dxa" w:w="54"/>
              <w:right w:type="dxa" w:w="84"/>
            </w:tcMar>
          </w:tcPr>
          <w:p>
            <w:pPr>
              <w:spacing w:after="0" w:line="248"/>
              <w:jc w:val="left"/>
            </w:pPr>
            <w:r>
              <w:rPr>
                <w:b/>
                <w:bCs/>
                <w:color w:val="FFFFFF"/>
                <w:sz w:val="17"/>
                <w:szCs w:val="17"/>
              </w:rPr>
              <w:t xml:space="preserve">Basis</w:t>
            </w:r>
          </w:p>
        </w:tc>
      </w:tr>
      <w:tr>
        <w:tc>
          <w:tcPr>
            <w:tcW w:type="dxa" w:w="4300"/>
            <w:shd w:fill="FFFFFF" w:val="clear"/>
            <w:tcMar>
              <w:top w:type="dxa" w:w="54"/>
              <w:left w:type="dxa" w:w="84"/>
              <w:bottom w:type="dxa" w:w="54"/>
              <w:right w:type="dxa" w:w="84"/>
            </w:tcMar>
          </w:tcPr>
          <w:p>
            <w:pPr>
              <w:spacing w:after="0" w:line="248"/>
              <w:jc w:val="left"/>
            </w:pPr>
            <w:r>
              <w:rPr>
                <w:b w:val="false"/>
                <w:bCs w:val="false"/>
                <w:sz w:val="17"/>
                <w:szCs w:val="17"/>
              </w:rPr>
              <w:t xml:space="preserve">Improvements propagated from other modules</w:t>
            </w:r>
          </w:p>
        </w:tc>
        <w:tc>
          <w:tcPr>
            <w:tcW w:type="dxa" w:w="1400"/>
            <w:shd w:fill="FFFFFF"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FFFFFF" w:val="clear"/>
            <w:tcMar>
              <w:top w:type="dxa" w:w="54"/>
              <w:left w:type="dxa" w:w="84"/>
              <w:bottom w:type="dxa" w:w="54"/>
              <w:right w:type="dxa" w:w="84"/>
            </w:tcMar>
          </w:tcPr>
          <w:p>
            <w:pPr>
              <w:spacing w:after="0" w:line="248"/>
              <w:jc w:val="left"/>
            </w:pPr>
            <w:r>
              <w:rPr>
                <w:b w:val="false"/>
                <w:bCs w:val="false"/>
                <w:sz w:val="17"/>
                <w:szCs w:val="17"/>
              </w:rPr>
              <w:t xml:space="preserve">integrating layer</w:t>
            </w:r>
          </w:p>
        </w:tc>
      </w:tr>
      <w:tr>
        <w:tc>
          <w:tcPr>
            <w:tcW w:type="dxa" w:w="4300"/>
            <w:shd w:fill="EEF2F6" w:val="clear"/>
            <w:tcMar>
              <w:top w:type="dxa" w:w="54"/>
              <w:left w:type="dxa" w:w="84"/>
              <w:bottom w:type="dxa" w:w="54"/>
              <w:right w:type="dxa" w:w="84"/>
            </w:tcMar>
          </w:tcPr>
          <w:p>
            <w:pPr>
              <w:spacing w:after="0" w:line="248"/>
              <w:jc w:val="left"/>
            </w:pPr>
            <w:r>
              <w:rPr>
                <w:b w:val="false"/>
                <w:bCs w:val="false"/>
                <w:sz w:val="17"/>
                <w:szCs w:val="17"/>
              </w:rPr>
              <w:t xml:space="preserve">Required vs achieved annual rate of change</w:t>
            </w:r>
          </w:p>
        </w:tc>
        <w:tc>
          <w:tcPr>
            <w:tcW w:type="dxa" w:w="1400"/>
            <w:shd w:fill="EEF2F6" w:val="clear"/>
            <w:tcMar>
              <w:top w:type="dxa" w:w="54"/>
              <w:left w:type="dxa" w:w="84"/>
              <w:bottom w:type="dxa" w:w="54"/>
              <w:right w:type="dxa" w:w="84"/>
            </w:tcMar>
          </w:tcPr>
          <w:p>
            <w:pPr>
              <w:spacing w:after="0" w:line="248"/>
              <w:jc w:val="left"/>
            </w:pPr>
            <w:r>
              <w:rPr>
                <w:b w:val="false"/>
                <w:bCs w:val="false"/>
                <w:sz w:val="17"/>
                <w:szCs w:val="17"/>
              </w:rPr>
              <w:t xml:space="preserve">±</w:t>
            </w:r>
          </w:p>
        </w:tc>
        <w:tc>
          <w:tcPr>
            <w:tcW w:type="dxa" w:w="3660"/>
            <w:shd w:fill="EEF2F6" w:val="clear"/>
            <w:tcMar>
              <w:top w:type="dxa" w:w="54"/>
              <w:left w:type="dxa" w:w="84"/>
              <w:bottom w:type="dxa" w:w="54"/>
              <w:right w:type="dxa" w:w="84"/>
            </w:tcMar>
          </w:tcPr>
          <w:p>
            <w:pPr>
              <w:spacing w:after="0" w:line="248"/>
              <w:jc w:val="left"/>
            </w:pPr>
            <w:r>
              <w:rPr>
                <w:b w:val="false"/>
                <w:bCs w:val="false"/>
                <w:sz w:val="17"/>
                <w:szCs w:val="17"/>
              </w:rPr>
              <w:t xml:space="preserve">attainment gap</w:t>
            </w:r>
          </w:p>
        </w:tc>
      </w:tr>
    </w:tbl>
    <w:p>
      <w:pPr>
        <w:spacing w:after="40" w:before="80"/>
      </w:pPr>
      <w:r>
        <w:rPr>
          <w:b/>
          <w:bCs/>
          <w:color w:val="1C7C74"/>
        </w:rPr>
        <w:t xml:space="preserve">Model specification. </w:t>
      </w:r>
      <w:r>
        <w:rPr>
          <w:sz w:val="20"/>
          <w:szCs w:val="20"/>
        </w:rPr>
        <w:t xml:space="preserve">Target-gap trajectory. For each target, the required average annual rate of change to 2030 is compared with the achieved rate; current values are projected to 2030 and classified as on- or off-track. Applying scenario improvements from the constituent modules recomputes attainment — answering which countries are likely to miss SDG 3 targets and what would change that.</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AARR_required = (1/n)·ln(target/current)</w:t>
      </w:r>
    </w:p>
    <w:p>
      <w:pPr>
        <w:pBdr>
          <w:top w:val="single" w:color="D9E2EC" w:sz="2"/>
          <w:bottom w:val="single" w:color="D9E2EC" w:sz="2"/>
        </w:pBdr>
        <w:spacing w:after="110" w:before="70"/>
        <w:jc w:val="center"/>
      </w:pPr>
      <w:r>
        <w:rPr>
          <w:rFonts w:ascii="Cambria Math" w:cs="Cambria Math" w:eastAsia="Cambria Math" w:hAnsi="Cambria Math"/>
          <w:i/>
          <w:iCs/>
          <w:color w:val="1C2541"/>
          <w:sz w:val="23"/>
          <w:szCs w:val="23"/>
        </w:rPr>
        <w:t xml:space="preserve">status = on-track if AARR_achieved ≥ AARR_required</w:t>
      </w:r>
    </w:p>
    <w:p>
      <w:pPr>
        <w:spacing w:after="40" w:before="40" w:line="270"/>
      </w:pPr>
      <w:r>
        <w:rPr>
          <w:b/>
          <w:bCs/>
          <w:color w:val="1C7C74"/>
        </w:rPr>
        <w:t xml:space="preserve">Evidence &amp; effect sizes. </w:t>
      </w:r>
      <w:r>
        <w:rPr>
          <w:sz w:val="20"/>
          <w:szCs w:val="20"/>
        </w:rPr>
        <w:t xml:space="preserve">UN SDG indicator framework; WHO SDG 3 monitoring; Countdown to 2030; standard rate-of-change projection methods.</w:t>
      </w:r>
    </w:p>
    <w:p>
      <w:pPr>
        <w:spacing w:after="60" w:line="270"/>
      </w:pPr>
      <w:r>
        <w:rPr>
          <w:b/>
          <w:bCs/>
          <w:color w:val="1C7C74"/>
        </w:rPr>
        <w:t xml:space="preserve">Data sources. </w:t>
      </w:r>
      <w:r>
        <w:rPr>
          <w:sz w:val="20"/>
          <w:szCs w:val="20"/>
        </w:rPr>
        <w:t xml:space="preserve">Aggregated from all IHSA modules; UN SDG database; WHO GHO.</w:t>
      </w:r>
    </w:p>
    <w:p>
      <w:r>
        <w:br w:type="page"/>
      </w:r>
    </w:p>
    <w:p>
      <w:pPr>
        <w:pStyle w:val="Heading1"/>
        <w:spacing w:after="140" w:before="320"/>
      </w:pPr>
      <w:r>
        <w:rPr>
          <w:b/>
          <w:bCs/>
          <w:color w:val="0B132B"/>
        </w:rPr>
        <w:t xml:space="preserve">6. Uncertainty, assumptions and limitations</w:t>
      </w:r>
    </w:p>
    <w:p>
      <w:pPr>
        <w:pStyle w:val="ListParagraph"/>
        <w:numPr>
          <w:ilvl w:val="0"/>
          <w:numId w:val="2"/>
        </w:numPr>
        <w:spacing w:after="60" w:line="264"/>
      </w:pPr>
      <w:r>
        <w:t xml:space="preserve">Ecological design: panels are country-year; associations need not hold at individual level (ecological fallacy).</w:t>
      </w:r>
    </w:p>
    <w:p>
      <w:pPr>
        <w:pStyle w:val="ListParagraph"/>
        <w:numPr>
          <w:ilvl w:val="0"/>
          <w:numId w:val="2"/>
        </w:numPr>
        <w:spacing w:after="60" w:line="264"/>
      </w:pPr>
      <w:r>
        <w:t xml:space="preserve">Static, single-period projection by default: dynamic feedback (e.g. falling incidence reducing the future infectious pool) is represented only through the forecasting step, not full transmission dynamics.</w:t>
      </w:r>
    </w:p>
    <w:p>
      <w:pPr>
        <w:pStyle w:val="ListParagraph"/>
        <w:numPr>
          <w:ilvl w:val="0"/>
          <w:numId w:val="2"/>
        </w:numPr>
        <w:spacing w:after="60" w:line="264"/>
      </w:pPr>
      <w:r>
        <w:t xml:space="preserve">Multiplicative combination of intervention effects can overstate impact where interventions reach overlapping populations.</w:t>
      </w:r>
    </w:p>
    <w:p>
      <w:pPr>
        <w:pStyle w:val="ListParagraph"/>
        <w:numPr>
          <w:ilvl w:val="0"/>
          <w:numId w:val="2"/>
        </w:numPr>
        <w:spacing w:after="60" w:line="264"/>
      </w:pPr>
      <w:r>
        <w:t xml:space="preserve">Effect sizes are applied as point values in v1.0; probabilistic sensitivity over their uncertainty is the planned extension.</w:t>
      </w:r>
    </w:p>
    <w:p>
      <w:pPr>
        <w:pStyle w:val="ListParagraph"/>
        <w:numPr>
          <w:ilvl w:val="0"/>
          <w:numId w:val="2"/>
        </w:numPr>
        <w:spacing w:after="60" w:line="264"/>
      </w:pPr>
      <w:r>
        <w:t xml:space="preserve">Committed data are illustrative; substantive conclusions require the live API pipeline and agency estimates.</w:t>
      </w:r>
    </w:p>
    <w:p>
      <w:pPr>
        <w:pStyle w:val="ListParagraph"/>
        <w:numPr>
          <w:ilvl w:val="0"/>
          <w:numId w:val="2"/>
        </w:numPr>
        <w:spacing w:after="60" w:line="264"/>
      </w:pPr>
      <w:r>
        <w:t xml:space="preserve">Ecological predictive R² is modest for rare outcomes; the platform emphasises relative change, prediction intervals and cross-validation over point accuracy.</w:t>
      </w:r>
    </w:p>
    <w:p>
      <w:pPr>
        <w:pStyle w:val="Heading1"/>
        <w:spacing w:after="140" w:before="320"/>
      </w:pPr>
      <w:r>
        <w:rPr>
          <w:b/>
          <w:bCs/>
          <w:color w:val="0B132B"/>
        </w:rPr>
        <w:t xml:space="preserve">7. Ethics, equity and governance</w:t>
      </w:r>
    </w:p>
    <w:p>
      <w:pPr>
        <w:pStyle w:val="ListParagraph"/>
        <w:numPr>
          <w:ilvl w:val="0"/>
          <w:numId w:val="2"/>
        </w:numPr>
        <w:spacing w:after="60" w:line="264"/>
      </w:pPr>
      <w:r>
        <w:t xml:space="preserve">Non-stigmatising framing: drivers are presented structurally, never attributing risk to identities or communities.</w:t>
      </w:r>
    </w:p>
    <w:p>
      <w:pPr>
        <w:pStyle w:val="ListParagraph"/>
        <w:numPr>
          <w:ilvl w:val="0"/>
          <w:numId w:val="2"/>
        </w:numPr>
        <w:spacing w:after="60" w:line="264"/>
      </w:pPr>
      <w:r>
        <w:t xml:space="preserve">Equity lens: because returns to intervention differ by setting, outputs should protect the most affected populations rather than only maximise aggregate metrics.</w:t>
      </w:r>
    </w:p>
    <w:p>
      <w:pPr>
        <w:pStyle w:val="ListParagraph"/>
        <w:numPr>
          <w:ilvl w:val="0"/>
          <w:numId w:val="2"/>
        </w:numPr>
        <w:spacing w:after="60" w:line="264"/>
      </w:pPr>
      <w:r>
        <w:t xml:space="preserve">Transparency: assumptions, effect sizes and code are documented and open to review; every figure is traceable to a versioned data pull.</w:t>
      </w:r>
    </w:p>
    <w:p>
      <w:pPr>
        <w:pStyle w:val="ListParagraph"/>
        <w:numPr>
          <w:ilvl w:val="0"/>
          <w:numId w:val="2"/>
        </w:numPr>
        <w:spacing w:after="60" w:line="264"/>
      </w:pPr>
      <w:r>
        <w:t xml:space="preserve">Appropriate authority: outputs are decision-support illustrations, not official national estimates, and are labelled as such throughout.</w:t>
      </w:r>
    </w:p>
    <w:p>
      <w:pPr>
        <w:pStyle w:val="ListParagraph"/>
        <w:numPr>
          <w:ilvl w:val="0"/>
          <w:numId w:val="2"/>
        </w:numPr>
        <w:spacing w:after="60" w:line="264"/>
      </w:pPr>
      <w:r>
        <w:t xml:space="preserve">Data protection and access control: aggregate data only; role-based access, audit logs and authentication are provided as shared enterprise services.</w:t>
      </w:r>
    </w:p>
    <w:p>
      <w:pPr>
        <w:pStyle w:val="Heading1"/>
        <w:spacing w:after="140" w:before="320"/>
      </w:pPr>
      <w:r>
        <w:rPr>
          <w:b/>
          <w:bCs/>
          <w:color w:val="0B132B"/>
        </w:rPr>
        <w:t xml:space="preserve">8. Software architecture and reproducibility</w:t>
      </w:r>
    </w:p>
    <w:p>
      <w:pPr>
        <w:spacing w:after="120" w:line="276"/>
        <w:jc w:val="both"/>
      </w:pPr>
      <w:r>
        <w:rPr>
          <w:b w:val="false"/>
          <w:bCs w:val="false"/>
          <w:i w:val="false"/>
          <w:iCs w:val="false"/>
        </w:rPr>
        <w:t xml:space="preserve">The methodology is realised in a modular, cloud-native codebase: shared configuration and logging; a medallion data warehouse; reusable ETL clients; the shared scenario engine and predictive-model framework; one analytics package per domain that registers a model; a registry-driven user interface and API; and shared reporting, authentication and GIS services. Adding a domain requires implementing the model contract and registering it — the interface and API update automatically. Full build, test and deployment instructions accompany the platform repository; automated tests assert baseline invariance, lever directionality and data integrity in continuous integration.</w:t>
      </w:r>
    </w:p>
    <w:p>
      <w:r>
        <w:br w:type="page"/>
      </w:r>
    </w:p>
    <w:p>
      <w:pPr>
        <w:pStyle w:val="Heading1"/>
        <w:spacing w:after="140" w:before="320"/>
      </w:pPr>
      <w:r>
        <w:rPr>
          <w:b/>
          <w:bCs/>
          <w:color w:val="0B132B"/>
        </w:rPr>
        <w:t xml:space="preserve">9. Selected references</w:t>
      </w:r>
    </w:p>
    <w:p>
      <w:pPr>
        <w:pStyle w:val="ListParagraph"/>
        <w:numPr>
          <w:ilvl w:val="0"/>
          <w:numId w:val="3"/>
        </w:numPr>
        <w:spacing w:after="80" w:line="262"/>
      </w:pPr>
      <w:r>
        <w:rPr>
          <w:sz w:val="19"/>
          <w:szCs w:val="19"/>
        </w:rPr>
        <w:t xml:space="preserve">WHO &amp; World Bank. Tracking Universal Health Coverage: Global Monitoring Reports.</w:t>
      </w:r>
    </w:p>
    <w:p>
      <w:pPr>
        <w:pStyle w:val="ListParagraph"/>
        <w:numPr>
          <w:ilvl w:val="0"/>
          <w:numId w:val="3"/>
        </w:numPr>
        <w:spacing w:after="80" w:line="262"/>
      </w:pPr>
      <w:r>
        <w:rPr>
          <w:sz w:val="19"/>
          <w:szCs w:val="19"/>
        </w:rPr>
        <w:t xml:space="preserve">UN Inter-agency Group for Child Mortality Estimation (UN IGME). Levels &amp; Trends in Child Mortality.</w:t>
      </w:r>
    </w:p>
    <w:p>
      <w:pPr>
        <w:pStyle w:val="ListParagraph"/>
        <w:numPr>
          <w:ilvl w:val="0"/>
          <w:numId w:val="3"/>
        </w:numPr>
        <w:spacing w:after="80" w:line="262"/>
      </w:pPr>
      <w:r>
        <w:rPr>
          <w:sz w:val="19"/>
          <w:szCs w:val="19"/>
        </w:rPr>
        <w:t xml:space="preserve">WHO. Every Newborn Action Plan; and Standards for improving quality of maternal and newborn care.</w:t>
      </w:r>
    </w:p>
    <w:p>
      <w:pPr>
        <w:pStyle w:val="ListParagraph"/>
        <w:numPr>
          <w:ilvl w:val="0"/>
          <w:numId w:val="3"/>
        </w:numPr>
        <w:spacing w:after="80" w:line="262"/>
      </w:pPr>
      <w:r>
        <w:rPr>
          <w:sz w:val="19"/>
          <w:szCs w:val="19"/>
        </w:rPr>
        <w:t xml:space="preserve">Walker N, et al. The Lives Saved Tool (LiST): overview and methods. BMC Public Health.</w:t>
      </w:r>
    </w:p>
    <w:p>
      <w:pPr>
        <w:pStyle w:val="ListParagraph"/>
        <w:numPr>
          <w:ilvl w:val="0"/>
          <w:numId w:val="3"/>
        </w:numPr>
        <w:spacing w:after="80" w:line="262"/>
      </w:pPr>
      <w:r>
        <w:rPr>
          <w:sz w:val="19"/>
          <w:szCs w:val="19"/>
        </w:rPr>
        <w:t xml:space="preserve">Cohen MS, et al. Antiretroviral therapy for the prevention of HIV-1 transmission (HPTN 052). NEJM.</w:t>
      </w:r>
    </w:p>
    <w:p>
      <w:pPr>
        <w:pStyle w:val="ListParagraph"/>
        <w:numPr>
          <w:ilvl w:val="0"/>
          <w:numId w:val="3"/>
        </w:numPr>
        <w:spacing w:after="80" w:line="262"/>
      </w:pPr>
      <w:r>
        <w:rPr>
          <w:sz w:val="19"/>
          <w:szCs w:val="19"/>
        </w:rPr>
        <w:t xml:space="preserve">Auvert B; Bailey RC; Gray RH, et al. Randomized trials of male circumcision for HIV prevention.</w:t>
      </w:r>
    </w:p>
    <w:p>
      <w:pPr>
        <w:pStyle w:val="ListParagraph"/>
        <w:numPr>
          <w:ilvl w:val="0"/>
          <w:numId w:val="3"/>
        </w:numPr>
        <w:spacing w:after="80" w:line="262"/>
      </w:pPr>
      <w:r>
        <w:rPr>
          <w:sz w:val="19"/>
          <w:szCs w:val="19"/>
        </w:rPr>
        <w:t xml:space="preserve">Lengeler C. Insecticide-treated bed nets and curtains for preventing malaria. Cochrane.</w:t>
      </w:r>
    </w:p>
    <w:p>
      <w:pPr>
        <w:pStyle w:val="ListParagraph"/>
        <w:numPr>
          <w:ilvl w:val="0"/>
          <w:numId w:val="3"/>
        </w:numPr>
        <w:spacing w:after="80" w:line="262"/>
      </w:pPr>
      <w:r>
        <w:rPr>
          <w:sz w:val="19"/>
          <w:szCs w:val="19"/>
        </w:rPr>
        <w:t xml:space="preserve">RTS,S and R21/Matrix-M malaria vaccine phase 3 trial reports.</w:t>
      </w:r>
    </w:p>
    <w:p>
      <w:pPr>
        <w:pStyle w:val="ListParagraph"/>
        <w:numPr>
          <w:ilvl w:val="0"/>
          <w:numId w:val="3"/>
        </w:numPr>
        <w:spacing w:after="80" w:line="262"/>
      </w:pPr>
      <w:r>
        <w:rPr>
          <w:sz w:val="19"/>
          <w:szCs w:val="19"/>
        </w:rPr>
        <w:t xml:space="preserve">WHO. Global Tuberculosis Report; and WHO Global Malaria Programme reports.</w:t>
      </w:r>
    </w:p>
    <w:p>
      <w:pPr>
        <w:pStyle w:val="ListParagraph"/>
        <w:numPr>
          <w:ilvl w:val="0"/>
          <w:numId w:val="3"/>
        </w:numPr>
        <w:spacing w:after="80" w:line="262"/>
      </w:pPr>
      <w:r>
        <w:rPr>
          <w:sz w:val="19"/>
          <w:szCs w:val="19"/>
        </w:rPr>
        <w:t xml:space="preserve">GBD Risk Factors Collaborators. Global burden attributable to risk factors. The Lancet.</w:t>
      </w:r>
    </w:p>
    <w:p>
      <w:pPr>
        <w:pStyle w:val="ListParagraph"/>
        <w:numPr>
          <w:ilvl w:val="0"/>
          <w:numId w:val="3"/>
        </w:numPr>
        <w:spacing w:after="80" w:line="262"/>
      </w:pPr>
      <w:r>
        <w:rPr>
          <w:sz w:val="19"/>
          <w:szCs w:val="19"/>
        </w:rPr>
        <w:t xml:space="preserve">WHO. 'Best buys' and other recommended interventions for the prevention and control of NCDs; HEARTS technical package.</w:t>
      </w:r>
    </w:p>
    <w:p>
      <w:pPr>
        <w:pStyle w:val="ListParagraph"/>
        <w:numPr>
          <w:ilvl w:val="0"/>
          <w:numId w:val="3"/>
        </w:numPr>
        <w:spacing w:after="80" w:line="262"/>
      </w:pPr>
      <w:r>
        <w:rPr>
          <w:sz w:val="19"/>
          <w:szCs w:val="19"/>
        </w:rPr>
        <w:t xml:space="preserve">Guttmacher Institute. Adding It Up: investing in sexual and reproductive health.</w:t>
      </w:r>
    </w:p>
    <w:p>
      <w:pPr>
        <w:pStyle w:val="ListParagraph"/>
        <w:numPr>
          <w:ilvl w:val="0"/>
          <w:numId w:val="3"/>
        </w:numPr>
        <w:spacing w:after="80" w:line="262"/>
      </w:pPr>
      <w:r>
        <w:rPr>
          <w:sz w:val="19"/>
          <w:szCs w:val="19"/>
        </w:rPr>
        <w:t xml:space="preserve">Aqil A, Lippeveld T, Hozumi D. PRISM framework for routine health information system performance. Health Policy Plan.</w:t>
      </w:r>
    </w:p>
    <w:p>
      <w:pPr>
        <w:pStyle w:val="ListParagraph"/>
        <w:numPr>
          <w:ilvl w:val="0"/>
          <w:numId w:val="3"/>
        </w:numPr>
        <w:spacing w:after="80" w:line="262"/>
      </w:pPr>
      <w:r>
        <w:rPr>
          <w:sz w:val="19"/>
          <w:szCs w:val="19"/>
        </w:rPr>
        <w:t xml:space="preserve">WHO. Global Strategy on Digital Health 2020–2025; Global Digital Health Index.</w:t>
      </w:r>
    </w:p>
    <w:p>
      <w:pPr>
        <w:pStyle w:val="ListParagraph"/>
        <w:numPr>
          <w:ilvl w:val="0"/>
          <w:numId w:val="3"/>
        </w:numPr>
        <w:spacing w:after="80" w:line="262"/>
      </w:pPr>
      <w:r>
        <w:rPr>
          <w:sz w:val="19"/>
          <w:szCs w:val="19"/>
        </w:rPr>
        <w:t xml:space="preserve">UN. SDG indicator framework; WHO. World Health Statistics (SDG 3 monitoring).</w:t>
      </w:r>
    </w:p>
    <w:p>
      <w:pPr>
        <w:pStyle w:val="ListParagraph"/>
        <w:numPr>
          <w:ilvl w:val="0"/>
          <w:numId w:val="3"/>
        </w:numPr>
        <w:spacing w:after="80" w:line="262"/>
      </w:pPr>
      <w:r>
        <w:rPr>
          <w:sz w:val="19"/>
          <w:szCs w:val="19"/>
        </w:rPr>
        <w:t xml:space="preserve">UNAIDS. Fast-Track and AIDSinfo indicator database; Spectrum/EPP estimation.</w:t>
      </w:r>
    </w:p>
    <w:p>
      <w:pPr>
        <w:pStyle w:val="ListParagraph"/>
        <w:numPr>
          <w:ilvl w:val="0"/>
          <w:numId w:val="3"/>
        </w:numPr>
        <w:spacing w:after="80" w:line="262"/>
      </w:pPr>
      <w:r>
        <w:rPr>
          <w:sz w:val="19"/>
          <w:szCs w:val="19"/>
        </w:rPr>
        <w:t xml:space="preserve">WHO Global Health Observatory OData API; World Bank Open Data API; UNICEF SDMX API (data documentation).</w:t>
      </w:r>
    </w:p>
    <w:p>
      <w:r>
        <w:br w:type="page"/>
      </w:r>
    </w:p>
    <w:p>
      <w:pPr>
        <w:pStyle w:val="Heading1"/>
        <w:spacing w:after="140" w:before="320"/>
      </w:pPr>
      <w:r>
        <w:rPr>
          <w:b/>
          <w:bCs/>
          <w:color w:val="0B132B"/>
        </w:rPr>
        <w:t xml:space="preserve">Disclaimer</w:t>
      </w:r>
    </w:p>
    <w:tbl>
      <w:tblPr>
        <w:tblW w:type="dxa" w:w="9360"/>
        <w:tblBorders>
          <w:top w:val="none"/>
          <w:left w:val="none"/>
          <w:bottom w:val="none"/>
          <w:right w:val="none"/>
          <w:insideH w:val="none"/>
          <w:insideV w:val="none"/>
        </w:tblBorders>
      </w:tblPr>
      <w:tblGrid>
        <w:gridCol w:w="70"/>
        <w:gridCol w:w="9290"/>
      </w:tblGrid>
      <w:tr>
        <w:tc>
          <w:tcPr>
            <w:tcW w:type="dxa" w:w="70"/>
            <w:shd w:fill="C0392B" w:val="clear"/>
          </w:tcPr>
          <w:p/>
        </w:tc>
        <w:tc>
          <w:tcPr>
            <w:tcW w:type="dxa" w:w="9290"/>
            <w:shd w:fill="EEF2F6" w:val="clear"/>
            <w:tcMar>
              <w:top w:type="dxa" w:w="90"/>
              <w:left w:type="dxa" w:w="150"/>
              <w:bottom w:type="dxa" w:w="90"/>
              <w:right w:type="dxa" w:w="130"/>
            </w:tcMar>
          </w:tcPr>
          <w:p>
            <w:pPr>
              <w:spacing w:after="50"/>
            </w:pPr>
            <w:r>
              <w:rPr>
                <w:b/>
                <w:bCs/>
                <w:color w:val="1C2541"/>
              </w:rPr>
              <w:t xml:space="preserve">Illustrative decision-support platform</w:t>
            </w:r>
          </w:p>
          <w:p>
            <w:pPr>
              <w:spacing w:after="0" w:line="266"/>
              <w:jc w:val="both"/>
            </w:pPr>
            <w:r>
              <w:rPr>
                <w:sz w:val="19"/>
                <w:szCs w:val="19"/>
              </w:rPr>
              <w:t xml:space="preserve">IHSA produces scenario illustrations from mechanistic and statistical models fitted to ecological (country-year) data, currently populated with illustrative values for demonstration. Outputs do not replace agency estimates (UNAIDS/Spectrum, UN MMEIG, UN IGME, WHO GTB/GMP) or detailed dynamic models, and must not be cited as authoritative estimates. All parameters, code and assumptions are open to scientific review and must be validated against national data before operational use.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jc w:val="center"/>
    </w:pPr>
    <w:r>
      <w:rPr>
        <w:color w:val="334155"/>
        <w:sz w:val="15"/>
        <w:szCs w:val="15"/>
      </w:rPr>
      <w:t xml:space="preserve">WHO AFRO · Illustrative decision-support — not official estimates   |   Page </w:t>
    </w:r>
    <w:r>
      <w:rPr>
        <w:color w:val="3341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pBdr>
      <w:spacing w:after="0"/>
      <w:jc w:val="right"/>
    </w:pPr>
    <w:r>
      <w:rPr>
        <w:color w:val="334155"/>
        <w:sz w:val="15"/>
        <w:szCs w:val="15"/>
      </w:rPr>
      <w:t xml:space="preserve">IHSA · Methodology, Model Specification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0B132B"/>
      <w:sz w:val="32"/>
      <w:szCs w:val="32"/>
    </w:rPr>
  </w:style>
  <w:style w:type="paragraph" w:styleId="Heading2">
    <w:name w:val="Heading 2"/>
    <w:basedOn w:val="Normal"/>
    <w:next w:val="Normal"/>
    <w:qFormat/>
    <w:pPr>
      <w:spacing w:after="100" w:before="220"/>
    </w:pPr>
    <w:rPr>
      <w:b/>
      <w:bCs/>
      <w:color w:val="1C2541"/>
      <w:sz w:val="26"/>
      <w:szCs w:val="26"/>
    </w:rPr>
  </w:style>
  <w:style w:type="paragraph" w:styleId="Heading3">
    <w:name w:val="Heading 3"/>
    <w:basedOn w:val="Normal"/>
    <w:next w:val="Normal"/>
    <w:qFormat/>
    <w:pPr>
      <w:spacing w:after="80" w:before="160"/>
    </w:pPr>
    <w:rPr>
      <w:b/>
      <w:bCs/>
      <w:color w:val="1C7C7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IHSA Methodology, Model Specification &amp; Technical Documentation</dc:title>
  <dc:creator>WHO AFRO IHSA</dc:creator>
  <cp:lastModifiedBy>Un-named</cp:lastModifiedBy>
  <cp:revision>1</cp:revision>
  <dcterms:created xsi:type="dcterms:W3CDTF">2026-07-04T15:54:02.525Z</dcterms:created>
  <dcterms:modified xsi:type="dcterms:W3CDTF">2026-07-04T15:54:02.525Z</dcterms:modified>
</cp:coreProperties>
</file>

<file path=docProps/custom.xml><?xml version="1.0" encoding="utf-8"?>
<Properties xmlns="http://schemas.openxmlformats.org/officeDocument/2006/custom-properties" xmlns:vt="http://schemas.openxmlformats.org/officeDocument/2006/docPropsVTypes"/>
</file>