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50"/>
        <w:jc w:val="center"/>
      </w:pPr>
      <w:r>
        <w:rPr>
          <w:b/>
          <w:bCs/>
          <w:color w:val="1C7C74"/>
          <w:sz w:val="34"/>
          <w:szCs w:val="34"/>
        </w:rPr>
        <w:t xml:space="preserve">WHO AFRO · IHSA</w:t>
      </w:r>
    </w:p>
    <w:p>
      <w:pPr>
        <w:spacing w:before="70"/>
        <w:jc w:val="center"/>
      </w:pPr>
      <w:r>
        <w:rPr>
          <w:b/>
          <w:bCs/>
          <w:color w:val="0B132B"/>
          <w:sz w:val="48"/>
          <w:szCs w:val="48"/>
        </w:rPr>
        <w:t xml:space="preserve">Bayesian Health Systems Scenario Engine</w:t>
      </w:r>
    </w:p>
    <w:p>
      <w:pPr>
        <w:spacing w:before="120"/>
        <w:jc w:val="center"/>
      </w:pPr>
      <w:r>
        <w:rPr>
          <w:i/>
          <w:iCs/>
          <w:color w:val="334155"/>
          <w:sz w:val="26"/>
          <w:szCs w:val="26"/>
        </w:rPr>
        <w:t xml:space="preserve">Expanded Methodology: Scenario Descriptions, Predictors, Evidence &amp; Model Specification</w:t>
      </w:r>
    </w:p>
    <w:p>
      <w:pPr>
        <w:pBdr>
          <w:top w:val="single" w:color="C0392B" w:sz="6"/>
        </w:pBdr>
        <w:spacing w:before="620"/>
        <w:jc w:val="center"/>
      </w:pPr>
      <w:r>
        <w:rPr>
          <w:sz w:val="2"/>
          <w:szCs w:val="2"/>
        </w:rPr>
        <w:t xml:space="preserve"/>
      </w:r>
    </w:p>
    <w:p>
      <w:pPr>
        <w:spacing w:before="240"/>
        <w:jc w:val="center"/>
      </w:pPr>
      <w:r>
        <w:rPr>
          <w:color w:val="1C2541"/>
          <w:sz w:val="20"/>
          <w:szCs w:val="20"/>
        </w:rPr>
        <w:t xml:space="preserve">For each domain: an introduction, a literature-grounded account of predictors, and the modelling framework</w:t>
      </w:r>
    </w:p>
    <w:p>
      <w:pPr>
        <w:spacing w:before="820"/>
        <w:jc w:val="center"/>
      </w:pPr>
      <w:r>
        <w:rPr>
          <w:color w:val="334155"/>
          <w:sz w:val="20"/>
          <w:szCs w:val="20"/>
        </w:rPr>
        <w:t xml:space="preserve">Version 2.1 · Expanded · Enterprise release</w:t>
      </w:r>
    </w:p>
    <w:p>
      <w:r>
        <w:br w:type="page"/>
      </w:r>
    </w:p>
    <w:p>
      <w:pPr>
        <w:spacing w:after="160"/>
      </w:pPr>
      <w:r>
        <w:rPr>
          <w:b/>
          <w:bCs/>
          <w:color w:val="0B132B"/>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b/>
          <w:bCs/>
          <w:color w:val="0B132B"/>
        </w:rPr>
        <w:t xml:space="preserve">1. The shared Bayesian framework (in brief)</w:t>
      </w:r>
    </w:p>
    <w:p>
      <w:pPr>
        <w:spacing w:after="130" w:line="278"/>
        <w:jc w:val="both"/>
      </w:pPr>
      <w:r>
        <w:rPr>
          <w:sz w:val="21"/>
          <w:szCs w:val="21"/>
        </w:rPr>
        <w:t xml:space="preserve">Every domain in this document is modelled as a directed acyclic graph (DAG) over five causal layers — external shocks, socioeconomic determinants, system determinants, intermediate determinants and the outcome — with the joint distribution factorising as the product of each node given its parents. Each node is a sign-constrained generalised structural equation on an appropriate link (identity for indices, log for rates, logit for probabilities), centred on the observed baseline so that a do-nothing scenario reproduces reality exactly.</w:t>
      </w:r>
    </w:p>
    <w:p>
      <w:pPr>
        <w:pBdr>
          <w:top w:val="single" w:color="D9E2EC" w:sz="2"/>
          <w:bottom w:val="single" w:color="D9E2EC" w:sz="2"/>
        </w:pBdr>
        <w:spacing w:after="100" w:before="60"/>
        <w:jc w:val="center"/>
      </w:pPr>
      <w:r>
        <w:rPr>
          <w:rFonts w:ascii="Cambria Math" w:cs="Cambria Math" w:eastAsia="Cambria Math" w:hAnsi="Cambria Math"/>
          <w:i/>
          <w:iCs/>
          <w:color w:val="1C2541"/>
          <w:sz w:val="22"/>
          <w:szCs w:val="22"/>
        </w:rPr>
        <w:t xml:space="preserve">g( E[Xⱼ] ) = g(xⱼ⁰) + Σ_{k∈pa(j)} s_jk · β_jk · (X_k − x_k⁰)/κ_jk ,   β_jk ≥ 0</w:t>
      </w:r>
    </w:p>
    <w:p>
      <w:pPr>
        <w:spacing w:after="130" w:line="278"/>
        <w:jc w:val="both"/>
      </w:pPr>
      <w:r>
        <w:rPr>
          <w:sz w:val="21"/>
          <w:szCs w:val="21"/>
        </w:rPr>
        <w:t xml:space="preserve">Scenarios are Pearl do-operator interventions do(X_S = x_S) that fix chosen nodes and propagate to descendants; uncertainty is propagated by Monte Carlo over the coefficient posteriors and node noise, yielding a posterior-predictive mean, a 95% credible interval and the probability of meeting a policy target. The chapters below specialise this machinery for each domain and are written to stand alone: each has an introduction, a literature-grounded description of predictors, and a description of the modelling framework.</w:t>
      </w:r>
    </w:p>
    <w:p>
      <w:pPr>
        <w:pStyle w:val="Heading1"/>
      </w:pPr>
      <w:r>
        <w:rPr>
          <w:b/>
          <w:bCs/>
          <w:color w:val="0B132B"/>
        </w:rPr>
        <w:t xml:space="preserve">5.1 HIV</w:t>
      </w:r>
    </w:p>
    <w:p>
      <w:pPr>
        <w:spacing w:after="90" w:line="270"/>
      </w:pPr>
      <w:r>
        <w:rPr>
          <w:b/>
          <w:bCs/>
          <w:color w:val="1C7C74"/>
        </w:rPr>
        <w:t xml:space="preserve">Outcome. </w:t>
      </w:r>
      <w:r>
        <w:rPr>
          <w:sz w:val="21"/>
          <w:szCs w:val="21"/>
        </w:rPr>
        <w:t xml:space="preserve">HIV incidence (new infections per 1,000 uninfected adults 15–49), with secondary nodes for AIDS mortality, ART coverage, viral suppression and mother-to-child transmission.</w:t>
      </w:r>
    </w:p>
    <w:p>
      <w:pPr>
        <w:pStyle w:val="Heading3"/>
      </w:pPr>
      <w:r>
        <w:rPr>
          <w:b/>
          <w:bCs/>
          <w:color w:val="1C7C74"/>
        </w:rPr>
        <w:t xml:space="preserve">Introduction</w:t>
      </w:r>
    </w:p>
    <w:p>
      <w:pPr>
        <w:spacing w:after="130" w:line="278"/>
        <w:jc w:val="both"/>
      </w:pPr>
      <w:r>
        <w:rPr>
          <w:sz w:val="21"/>
          <w:szCs w:val="21"/>
        </w:rPr>
        <w:t xml:space="preserve">HIV remains one of the defining epidemics of the WHO African Region, which carries the majority of the global burden of people living with HIV. Although incidence has fallen substantially since the peak of the epidemic, transmission continues, and several countries face resurgent or plateauing trends among adolescent girls, young women and key populations. The scenario question for this module is therefore practical and urgent: given a country's current treatment cascade and prevention coverage, how much further could new infections fall if testing, treatment, viral suppression and combination prevention were scaled toward the global 95-95-95 targets?</w:t>
      </w:r>
    </w:p>
    <w:p>
      <w:pPr>
        <w:spacing w:after="130" w:line="278"/>
        <w:jc w:val="both"/>
      </w:pPr>
      <w:r>
        <w:rPr>
          <w:sz w:val="21"/>
          <w:szCs w:val="21"/>
        </w:rPr>
        <w:t xml:space="preserve">The HIV module frames incidence as the emergent product of an infectious reservoir and a set of protective and structural modifiers. It is designed to let planners test realistic packages — for example expanding ART and viral-load monitoring while simultaneously strengthening the supply chain and addressing structural drivers — rather than single interventions in isolation. Because HIV shares upstream determinants (health-information systems, supply chains, gender inequality) with maternal, TB and SRHR outcomes, the network is explicitly connected to those domains so that cross-cutting investments are represented coherently.</w:t>
      </w:r>
    </w:p>
    <w:p>
      <w:pPr>
        <w:pStyle w:val="Heading3"/>
      </w:pPr>
      <w:r>
        <w:rPr>
          <w:b/>
          <w:bCs/>
          <w:color w:val="1C7C74"/>
        </w:rPr>
        <w:t xml:space="preserve">Predictors and evidence from the literature</w:t>
      </w:r>
    </w:p>
    <w:p>
      <w:pPr>
        <w:spacing w:after="130" w:line="278"/>
        <w:jc w:val="both"/>
      </w:pPr>
      <w:r>
        <w:rPr>
          <w:sz w:val="21"/>
          <w:szCs w:val="21"/>
        </w:rPr>
        <w:t xml:space="preserve">The proximate determinants of incidence are the treatment cascade and combination prevention. Treatment-as-prevention is the dominant lever: randomised and observational evidence (notably HPTN 052 and the PARTNER studies) established that durable viral suppression essentially eliminates onward sexual transmission, underpinning the undetectable-equals-untransmittable principle and the 95-95-95 strategy. Viral suppression is therefore modelled as the strongest protective parent of incidence, with ART coverage and viral-load testing as its own upstream drivers.</w:t>
      </w:r>
    </w:p>
    <w:p>
      <w:pPr>
        <w:spacing w:after="130" w:line="278"/>
        <w:jc w:val="both"/>
      </w:pPr>
      <w:r>
        <w:rPr>
          <w:sz w:val="21"/>
          <w:szCs w:val="21"/>
        </w:rPr>
        <w:t xml:space="preserve">Biomedical prevention adds further protective parents. Voluntary medical male circumcision reduces female-to-male acquisition by roughly 60% in the three landmark randomised trials (Orange Farm, Kisumu and Rakai); consistent condom use reduces per-act transmission by approximately 80%; and pre-exposure prophylaxis reduces acquisition by around 55% at population effectiveness levels that depend heavily on adherence. Sexually transmitted infections act as a biological cofactor that raises transmission, and are included as a risk parent.</w:t>
      </w:r>
    </w:p>
    <w:p>
      <w:pPr>
        <w:spacing w:after="130" w:line="278"/>
        <w:jc w:val="both"/>
      </w:pPr>
      <w:r>
        <w:rPr>
          <w:sz w:val="21"/>
          <w:szCs w:val="21"/>
        </w:rPr>
        <w:t xml:space="preserve">System and structural determinants shape whether these interventions reach people. Health-workforce and laboratory capacity, supply-chain reliability and health-information-system maturity govern testing yield, ART initiation and retention; stockouts erode viral suppression. Structural determinants — female literacy, income, gender inequality, migration and youth unemployment — modify exposure and access, consistent with the extensive literature linking women's education and economic empowerment to lower HIV risk. Shocks (conflict, epidemics such as COVID-19, floods and refugee influx) are represented as exogenous nodes that disrupt the supply chain and service delivery.</w:t>
      </w:r>
    </w:p>
    <w:p>
      <w:pPr>
        <w:pStyle w:val="Heading3"/>
      </w:pPr>
      <w:r>
        <w:rPr>
          <w:b/>
          <w:bCs/>
          <w:color w:val="1C7C74"/>
        </w:rPr>
        <w:t xml:space="preserve">The modelling framework</w:t>
      </w:r>
    </w:p>
    <w:p>
      <w:pPr>
        <w:spacing w:after="130" w:line="278"/>
        <w:jc w:val="both"/>
      </w:pPr>
      <w:r>
        <w:rPr>
          <w:sz w:val="21"/>
          <w:szCs w:val="21"/>
        </w:rPr>
        <w:t xml:space="preserve">Incidence is an outcome node on the log link, so protective and risk parents act multiplicatively on the rate and the model cannot produce negative incidence. The linear predictor is anchored at the observed incidence, and each parent enters as a sign-constrained deviation from its own baseline: viral suppression, condoms, circumcision and PrEP carry negative signs (raising them lowers incidence), while STI prevalence and structural risk factors carry positive signs.</w:t>
      </w:r>
    </w:p>
    <w:p>
      <w:pPr>
        <w:spacing w:after="130" w:line="278"/>
        <w:jc w:val="both"/>
      </w:pPr>
      <w:r>
        <w:rPr>
          <w:sz w:val="21"/>
          <w:szCs w:val="21"/>
        </w:rPr>
        <w:t xml:space="preserve">The cascade is represented explicitly rather than collapsed into a single coverage figure. HIV testing is driven by HIS maturity; ART coverage is driven by testing and supply chain; viral suppression is driven by ART coverage and supply chain; and incidence is driven by viral suppression together with the prevention and structural parents. This layering means an intervention on an upstream node — for example a digital-transformation scenario that raises HIS maturity — propagates through testing and ART to viral suppression and finally to incidence, exactly as the do-operator prescribes.</w:t>
      </w:r>
    </w:p>
    <w:p>
      <w:pPr>
        <w:spacing w:after="130" w:line="278"/>
        <w:jc w:val="both"/>
      </w:pPr>
      <w:r>
        <w:rPr>
          <w:sz w:val="21"/>
          <w:szCs w:val="21"/>
        </w:rPr>
        <w:t xml:space="preserve">Coefficients are elicited from the trial and cohort evidence above and expressed on the logit or log scale; where country-year panels are mined, they are updated to posteriors by Hamiltonian Monte Carlo. Uncertainty is propagated by Monte Carlo, so a scenario returns not a point estimate but a posterior-predictive distribution with a 95% credible interval and, where a target is set, the probability of achieving it. The reference implementation reproduces the observed baseline and shows an accelerate-treatment package lowering incidence with a full credible interval, while a conflict shock raises it by degrading the supply-chain-to-suppression chain.</w:t>
      </w:r>
    </w:p>
    <w:p>
      <w:pPr>
        <w:spacing w:after="130" w:line="278"/>
        <w:jc w:val="both"/>
      </w:pPr>
      <w:r>
        <w:rPr>
          <w:sz w:val="21"/>
          <w:szCs w:val="21"/>
        </w:rPr>
        <w:t xml:space="preserve">The principal assumptions are that the DAG structure and predictor polarities are correct, that the relationship is adequately captured by a single-period ecological model, and that combination-prevention effects are approximately multiplicative. These are transparent and revisable; in particular the module does not yet feed falling incidence back into a shrinking future infectious pool, so multi-year projections use the forecasting layer rather than full transmission dynamics, and results are presented as illustrative decision-support rather than as replacements for UNAIDS/Spectrum estimates.</w:t>
      </w:r>
    </w:p>
    <w:p>
      <w:r>
        <w:br w:type="page"/>
      </w:r>
    </w:p>
    <w:p>
      <w:pPr>
        <w:pStyle w:val="Heading1"/>
      </w:pPr>
      <w:r>
        <w:rPr>
          <w:b/>
          <w:bCs/>
          <w:color w:val="0B132B"/>
        </w:rPr>
        <w:t xml:space="preserve">5.2 Maternal mortality</w:t>
      </w:r>
    </w:p>
    <w:p>
      <w:pPr>
        <w:spacing w:after="90" w:line="270"/>
      </w:pPr>
      <w:r>
        <w:rPr>
          <w:b/>
          <w:bCs/>
          <w:color w:val="1C7C74"/>
        </w:rPr>
        <w:t xml:space="preserve">Outcome. </w:t>
      </w:r>
      <w:r>
        <w:rPr>
          <w:sz w:val="21"/>
          <w:szCs w:val="21"/>
        </w:rPr>
        <w:t xml:space="preserve">Maternal mortality ratio (maternal deaths per 100,000 live births).</w:t>
      </w:r>
    </w:p>
    <w:p>
      <w:pPr>
        <w:pStyle w:val="Heading3"/>
      </w:pPr>
      <w:r>
        <w:rPr>
          <w:b/>
          <w:bCs/>
          <w:color w:val="1C7C74"/>
        </w:rPr>
        <w:t xml:space="preserve">Introduction</w:t>
      </w:r>
    </w:p>
    <w:p>
      <w:pPr>
        <w:spacing w:after="130" w:line="278"/>
        <w:jc w:val="both"/>
      </w:pPr>
      <w:r>
        <w:rPr>
          <w:sz w:val="21"/>
          <w:szCs w:val="21"/>
        </w:rPr>
        <w:t xml:space="preserve">Maternal mortality is a sentinel indicator of health-system performance because a woman surviving childbirth depends on the whole chain of care functioning — from antenatal detection of risk, through skilled attendance and timely emergency obstetric care, to postnatal follow-up. The African Region continues to account for a disproportionate share of global maternal deaths, and progress, while real, has been uneven and too slow to meet the SDG target of fewer than 70 deaths per 100,000 live births. The scenario question is how far a country could reduce its maternal mortality ratio by strengthening specific links in this chain.</w:t>
      </w:r>
    </w:p>
    <w:p>
      <w:pPr>
        <w:spacing w:after="130" w:line="278"/>
        <w:jc w:val="both"/>
      </w:pPr>
      <w:r>
        <w:rPr>
          <w:sz w:val="21"/>
          <w:szCs w:val="21"/>
        </w:rPr>
        <w:t xml:space="preserve">This module builds directly on the deployed WHO AFRO maternal what-if explorer and generalises it into the Bayesian framework. It is designed to let planners weigh, for example, whether investment in emergency obstetric care and blood availability would avert more deaths than an equivalent investment in antenatal coverage, and to see the combined effect of a coordinated safe-motherhood package with its associated uncertainty.</w:t>
      </w:r>
    </w:p>
    <w:p>
      <w:pPr>
        <w:pStyle w:val="Heading3"/>
      </w:pPr>
      <w:r>
        <w:rPr>
          <w:b/>
          <w:bCs/>
          <w:color w:val="1C7C74"/>
        </w:rPr>
        <w:t xml:space="preserve">Predictors and evidence from the literature</w:t>
      </w:r>
    </w:p>
    <w:p>
      <w:pPr>
        <w:spacing w:after="130" w:line="278"/>
        <w:jc w:val="both"/>
      </w:pPr>
      <w:r>
        <w:rPr>
          <w:sz w:val="21"/>
          <w:szCs w:val="21"/>
        </w:rPr>
        <w:t xml:space="preserve">The intermediate determinants are the components of the continuum of care. Skilled birth attendance and facility delivery, backed by basic and comprehensive emergency obstetric and newborn care, caesarean availability, blood supply and referral efficiency, determine whether the direct obstetric causes — haemorrhage, sepsis, hypertensive disorders and obstructed labour — are survived. The three-delays framework (delay in deciding to seek care, in reaching care and in receiving care) organises these predictors and motivates their prominence in the model.</w:t>
      </w:r>
    </w:p>
    <w:p>
      <w:pPr>
        <w:spacing w:after="130" w:line="278"/>
        <w:jc w:val="both"/>
      </w:pPr>
      <w:r>
        <w:rPr>
          <w:sz w:val="21"/>
          <w:szCs w:val="21"/>
        </w:rPr>
        <w:t xml:space="preserve">Reproductive determinants act earlier in the causal chain. Antenatal care (four and eight contacts), modern contraception, birth spacing and adolescent fertility shape both exposure to pregnancy risk and the detection of complications; the family-planning literature (including the Lancet series on family planning) shows that satisfying unmet need averts a substantial fraction of maternal deaths by reducing high-risk and unintended pregnancies. This links the maternal network to the SRHR module.</w:t>
      </w:r>
    </w:p>
    <w:p>
      <w:pPr>
        <w:spacing w:after="130" w:line="278"/>
        <w:jc w:val="both"/>
      </w:pPr>
      <w:r>
        <w:rPr>
          <w:sz w:val="21"/>
          <w:szCs w:val="21"/>
        </w:rPr>
        <w:t xml:space="preserve">Structural, disease and infrastructural determinants complete the picture. Female education, poverty, fertility, gender inequality and rurality are well-established distal determinants; anaemia, HIV, malaria and hypertension raise case-fatality; and road access, travel time, ambulance availability and facility density govern the second delay. System determinants — midwife and workforce density, maternal death reviews, government health expenditure and reporting completeness — and shocks such as conflict, floods, drug shortages and strikes modulate the whole system.</w:t>
      </w:r>
    </w:p>
    <w:p>
      <w:pPr>
        <w:pStyle w:val="Heading3"/>
      </w:pPr>
      <w:r>
        <w:rPr>
          <w:b/>
          <w:bCs/>
          <w:color w:val="1C7C74"/>
        </w:rPr>
        <w:t xml:space="preserve">The modelling framework</w:t>
      </w:r>
    </w:p>
    <w:p>
      <w:pPr>
        <w:spacing w:after="130" w:line="278"/>
        <w:jc w:val="both"/>
      </w:pPr>
      <w:r>
        <w:rPr>
          <w:sz w:val="21"/>
          <w:szCs w:val="21"/>
        </w:rPr>
        <w:t xml:space="preserve">The maternal mortality ratio is an outcome node on the log link, anchored to the observed value. Protective parents (skilled attendance, emergency obstetric care, antenatal care, education) carry negative signs; risk parents (anaemia, fertility, adolescent fertility, gender inequality) carry positive signs; and each enters as a sign-constrained deviation from baseline so a status-quo scenario returns the observed ratio exactly.</w:t>
      </w:r>
    </w:p>
    <w:p>
      <w:pPr>
        <w:spacing w:after="130" w:line="278"/>
        <w:jc w:val="both"/>
      </w:pPr>
      <w:r>
        <w:rPr>
          <w:sz w:val="21"/>
          <w:szCs w:val="21"/>
        </w:rPr>
        <w:t xml:space="preserve">The default statistical form is the additive monotonic model validated in the deployed explorer — a monotone-constrained regression on the log ratio with risk-oriented predictors — now embedded as the outcome node of the Bayesian network so that upstream determinants (workforce, financing, HIS maturity, shocks) can feed the intermediate obstetric-care nodes. Scenario deltas are applied on the log scale through a gain factor, and bootstrap or posterior draws provide the credible interval.</w:t>
      </w:r>
    </w:p>
    <w:p>
      <w:pPr>
        <w:spacing w:after="130" w:line="278"/>
        <w:jc w:val="both"/>
      </w:pPr>
      <w:r>
        <w:rPr>
          <w:sz w:val="21"/>
          <w:szCs w:val="21"/>
        </w:rPr>
        <w:t xml:space="preserve">Because the deployed maternal model reported a modest in-sample fit (an R² of roughly one third, typical of ecological models of a rare outcome), the module deliberately emphasises relative change, prediction intervals and cross-validated performance rather than headline point accuracy. Family-planning effects are routed through fertility and adolescent fertility, so a scenario that scales contraception lowers both maternal and, via the shared parents, child mortality.</w:t>
      </w:r>
    </w:p>
    <w:p>
      <w:pPr>
        <w:spacing w:after="130" w:line="278"/>
        <w:jc w:val="both"/>
      </w:pPr>
      <w:r>
        <w:rPr>
          <w:sz w:val="21"/>
          <w:szCs w:val="21"/>
        </w:rPr>
        <w:t xml:space="preserve">The main assumptions are the correctness of the three-delays causal structure, the monotone sign constraints, and the single-period ecological design. Shocks are assumed to act by degrading referral and supply nodes rather than the ratio directly. Outputs are illustrative and should be validated against the UN Maternal Mortality Estimation Inter-agency Group figures before operational use.</w:t>
      </w:r>
    </w:p>
    <w:p>
      <w:r>
        <w:br w:type="page"/>
      </w:r>
    </w:p>
    <w:p>
      <w:pPr>
        <w:pStyle w:val="Heading1"/>
      </w:pPr>
      <w:r>
        <w:rPr>
          <w:b/>
          <w:bCs/>
          <w:color w:val="0B132B"/>
        </w:rPr>
        <w:t xml:space="preserve">5.3 Neonatal mortality</w:t>
      </w:r>
    </w:p>
    <w:p>
      <w:pPr>
        <w:spacing w:after="90" w:line="270"/>
      </w:pPr>
      <w:r>
        <w:rPr>
          <w:b/>
          <w:bCs/>
          <w:color w:val="1C7C74"/>
        </w:rPr>
        <w:t xml:space="preserve">Outcome. </w:t>
      </w:r>
      <w:r>
        <w:rPr>
          <w:sz w:val="21"/>
          <w:szCs w:val="21"/>
        </w:rPr>
        <w:t xml:space="preserve">Neonatal mortality rate (deaths in the first 28 days per 1,000 live births).</w:t>
      </w:r>
    </w:p>
    <w:p>
      <w:pPr>
        <w:pStyle w:val="Heading3"/>
      </w:pPr>
      <w:r>
        <w:rPr>
          <w:b/>
          <w:bCs/>
          <w:color w:val="1C7C74"/>
        </w:rPr>
        <w:t xml:space="preserve">Introduction</w:t>
      </w:r>
    </w:p>
    <w:p>
      <w:pPr>
        <w:spacing w:after="130" w:line="278"/>
        <w:jc w:val="both"/>
      </w:pPr>
      <w:r>
        <w:rPr>
          <w:sz w:val="21"/>
          <w:szCs w:val="21"/>
        </w:rPr>
        <w:t xml:space="preserve">Neonatal deaths now make up close to half of all under-five mortality, and progress on the neonatal rate has lagged behind that for older children, making it the binding constraint on child-survival gains in much of the Region. Most neonatal deaths arise from a small number of causes — complications of preterm birth, intrapartum-related events (birth asphyxia) and neonatal infections — that are largely preventable with feasible facility- and community-based interventions. The scenario question is how far the neonatal rate could fall if coverage and quality of these interventions improved.</w:t>
      </w:r>
    </w:p>
    <w:p>
      <w:pPr>
        <w:spacing w:after="130" w:line="278"/>
        <w:jc w:val="both"/>
      </w:pPr>
      <w:r>
        <w:rPr>
          <w:sz w:val="21"/>
          <w:szCs w:val="21"/>
        </w:rPr>
        <w:t xml:space="preserve">This module is intentionally aligned with the maternal network, because the health of the mother and the quality of intrapartum care are the primary determinants of newborn survival. It is designed to let planners test packages such as improving skilled attendance together with newborn resuscitation and kangaroo mother care, and to see how enabling inputs like oxygen and electricity gate the effectiveness of clinical interventions.</w:t>
      </w:r>
    </w:p>
    <w:p>
      <w:pPr>
        <w:pStyle w:val="Heading3"/>
      </w:pPr>
      <w:r>
        <w:rPr>
          <w:b/>
          <w:bCs/>
          <w:color w:val="1C7C74"/>
        </w:rPr>
        <w:t xml:space="preserve">Predictors and evidence from the literature</w:t>
      </w:r>
    </w:p>
    <w:p>
      <w:pPr>
        <w:spacing w:after="130" w:line="278"/>
        <w:jc w:val="both"/>
      </w:pPr>
      <w:r>
        <w:rPr>
          <w:sz w:val="21"/>
          <w:szCs w:val="21"/>
        </w:rPr>
        <w:t xml:space="preserve">The intermediate determinants are the newborn-care interventions with the strongest evidence base. Skilled attendance and emergency obstetric and newborn care address intrapartum-related deaths; newborn resuscitation reduces asphyxia case-fatality; kangaroo mother care substantially improves survival of preterm and low-birth-weight infants; and prompt management of neonatal sepsis, including chlorhexidine cord care and appropriate antibiotics, reduces infection deaths. These effect sizes are drawn from the child-survival trial literature synthesised in the Lives Saved Tool and the WHO Every Newborn Action Plan.</w:t>
      </w:r>
    </w:p>
    <w:p>
      <w:pPr>
        <w:spacing w:after="130" w:line="278"/>
        <w:jc w:val="both"/>
      </w:pPr>
      <w:r>
        <w:rPr>
          <w:sz w:val="21"/>
          <w:szCs w:val="21"/>
        </w:rPr>
        <w:t xml:space="preserve">Clinical and biological determinants — maternal age at the extremes, prematurity and low birth weight — define the at-risk population and are represented as risk parents, while antenatal care (including antenatal corticosteroids for anticipated preterm birth) and caesarean availability are protective. Postnatal care coverage matters because a large share of neonatal deaths occurs in the first days after birth, when early detection and care-seeking are decisive.</w:t>
      </w:r>
    </w:p>
    <w:p>
      <w:pPr>
        <w:spacing w:after="130" w:line="278"/>
        <w:jc w:val="both"/>
      </w:pPr>
      <w:r>
        <w:rPr>
          <w:sz w:val="21"/>
          <w:szCs w:val="21"/>
        </w:rPr>
        <w:t xml:space="preserve">System and enabling determinants complete the network. Referral efficiency, reliable electricity, medical oxygen and blood availability, and digital surveillance are enabling nodes without which the clinical interventions cannot be delivered at quality; the literature on facility readiness shows that coverage without these inputs yields little survival benefit. Shocks such as conflict and floods degrade these enabling nodes and are included accordingly.</w:t>
      </w:r>
    </w:p>
    <w:p>
      <w:pPr>
        <w:pStyle w:val="Heading3"/>
      </w:pPr>
      <w:r>
        <w:rPr>
          <w:b/>
          <w:bCs/>
          <w:color w:val="1C7C74"/>
        </w:rPr>
        <w:t xml:space="preserve">The modelling framework</w:t>
      </w:r>
    </w:p>
    <w:p>
      <w:pPr>
        <w:spacing w:after="130" w:line="278"/>
        <w:jc w:val="both"/>
      </w:pPr>
      <w:r>
        <w:rPr>
          <w:sz w:val="21"/>
          <w:szCs w:val="21"/>
        </w:rPr>
        <w:t xml:space="preserve">The neonatal rate is an outcome node on the log link, anchored to the observed value, with a cause-deletion (Lives-Saved-Tool) logic expressed through the coefficients: each intervention's coefficient encodes the product of the cause share it addresses, its efficacy and the affected fraction, so that raising its coverage reduces the rate multiplicatively. Protective interventions carry negative signs and biological risk factors positive signs.</w:t>
      </w:r>
    </w:p>
    <w:p>
      <w:pPr>
        <w:spacing w:after="130" w:line="278"/>
        <w:jc w:val="both"/>
      </w:pPr>
      <w:r>
        <w:rPr>
          <w:sz w:val="21"/>
          <w:szCs w:val="21"/>
        </w:rPr>
        <w:t xml:space="preserve">Enabling inputs are modelled as parents of the effectiveness of the clinical nodes rather than as direct causes of death, capturing the empirical finding that resuscitation or sepsis management deliver benefit only where oxygen, electricity and referral function. This structure means an infrastructure scenario raises neonatal survival indirectly, through the intermediate nodes.</w:t>
      </w:r>
    </w:p>
    <w:p>
      <w:pPr>
        <w:spacing w:after="130" w:line="278"/>
        <w:jc w:val="both"/>
      </w:pPr>
      <w:r>
        <w:rPr>
          <w:sz w:val="21"/>
          <w:szCs w:val="21"/>
        </w:rPr>
        <w:t xml:space="preserve">Uncertainty is propagated by Monte Carlo, giving a credible interval on the projected rate and, where a target is set, the probability of achieving it. The neonatal outcome is one of the two segments that combine into under-five mortality (Section 5.5), so improvements here propagate upward to the integrating under-five node.</w:t>
      </w:r>
    </w:p>
    <w:p>
      <w:pPr>
        <w:spacing w:after="130" w:line="278"/>
        <w:jc w:val="both"/>
      </w:pPr>
      <w:r>
        <w:rPr>
          <w:sz w:val="21"/>
          <w:szCs w:val="21"/>
        </w:rPr>
        <w:t xml:space="preserve">The assumptions are that the cause structure is adequately captured by the reduced-form coefficients, that combination effects are multiplicative on the log scale, and that the model is ecological and single-period. Enabling-input gating is an explicit modelling choice grounded in the readiness literature. Outputs are illustrative and should be checked against UN Inter-agency Group for Child Mortality Estimation figures.</w:t>
      </w:r>
    </w:p>
    <w:p>
      <w:r>
        <w:br w:type="page"/>
      </w:r>
    </w:p>
    <w:p>
      <w:pPr>
        <w:pStyle w:val="Heading1"/>
      </w:pPr>
      <w:r>
        <w:rPr>
          <w:b/>
          <w:bCs/>
          <w:color w:val="0B132B"/>
        </w:rPr>
        <w:t xml:space="preserve">5.4 Child mortality (1–59 months)</w:t>
      </w:r>
    </w:p>
    <w:p>
      <w:pPr>
        <w:spacing w:after="90" w:line="270"/>
      </w:pPr>
      <w:r>
        <w:rPr>
          <w:b/>
          <w:bCs/>
          <w:color w:val="1C7C74"/>
        </w:rPr>
        <w:t xml:space="preserve">Outcome. </w:t>
      </w:r>
      <w:r>
        <w:rPr>
          <w:sz w:val="21"/>
          <w:szCs w:val="21"/>
        </w:rPr>
        <w:t xml:space="preserve">Child mortality among children aged 1–59 months, expressed per 1,000 live births as the post-neonatal component of under-five mortality.</w:t>
      </w:r>
    </w:p>
    <w:p>
      <w:pPr>
        <w:pStyle w:val="Heading3"/>
      </w:pPr>
      <w:r>
        <w:rPr>
          <w:b/>
          <w:bCs/>
          <w:color w:val="1C7C74"/>
        </w:rPr>
        <w:t xml:space="preserve">Introduction</w:t>
      </w:r>
    </w:p>
    <w:p>
      <w:pPr>
        <w:spacing w:after="130" w:line="278"/>
        <w:jc w:val="both"/>
      </w:pPr>
      <w:r>
        <w:rPr>
          <w:sz w:val="21"/>
          <w:szCs w:val="21"/>
        </w:rPr>
        <w:t xml:space="preserve">Beyond the neonatal period, child deaths are dominated by a small set of infectious and nutritional causes — pneumonia, diarrhoea, malaria, measles and undernutrition — for which cost-effective prevention and treatment exist. The Region has made major gains through immunisation and case-management scale-up, but coverage remains uneven and preventable child deaths persist. The scenario question is how far the 1–59 month mortality rate could fall with improved coverage of these interventions.</w:t>
      </w:r>
    </w:p>
    <w:p>
      <w:pPr>
        <w:spacing w:after="130" w:line="278"/>
        <w:jc w:val="both"/>
      </w:pPr>
      <w:r>
        <w:rPr>
          <w:sz w:val="21"/>
          <w:szCs w:val="21"/>
        </w:rPr>
        <w:t xml:space="preserve">This module is designed to let planners compare, for example, the survival return on expanding immunisation against the return on scaling oral rehydration and zinc for diarrhoea or case-management for pneumonia, and to represent the joint effect of an integrated child-health package. It links to the malaria, SRHR and nutrition determinants shared with other networks.</w:t>
      </w:r>
    </w:p>
    <w:p>
      <w:pPr>
        <w:pStyle w:val="Heading3"/>
      </w:pPr>
      <w:r>
        <w:rPr>
          <w:b/>
          <w:bCs/>
          <w:color w:val="1C7C74"/>
        </w:rPr>
        <w:t xml:space="preserve">Predictors and evidence from the literature</w:t>
      </w:r>
    </w:p>
    <w:p>
      <w:pPr>
        <w:spacing w:after="130" w:line="278"/>
        <w:jc w:val="both"/>
      </w:pPr>
      <w:r>
        <w:rPr>
          <w:sz w:val="21"/>
          <w:szCs w:val="21"/>
        </w:rPr>
        <w:t xml:space="preserve">The intermediate determinants are the interventions targeting the leading post-neonatal causes. Immunisation — measles, pneumococcal conjugate and rotavirus vaccines in addition to DTP3 — prevents vaccine-preventable deaths; oral rehydration salts with zinc are highly effective against diarrhoeal mortality; prompt care-seeking and antibiotics reduce pneumonia deaths; and insecticide-treated nets and prompt treatment reduce malaria deaths. These effect sizes come from the Cochrane reviews and the child-survival evidence synthesised in the Lives Saved Tool.</w:t>
      </w:r>
    </w:p>
    <w:p>
      <w:pPr>
        <w:spacing w:after="130" w:line="278"/>
        <w:jc w:val="both"/>
      </w:pPr>
      <w:r>
        <w:rPr>
          <w:sz w:val="21"/>
          <w:szCs w:val="21"/>
        </w:rPr>
        <w:t xml:space="preserve">Nutritional determinants are pivotal because undernutrition underlies a large share of child deaths as a risk multiplier. Vitamin A supplementation, exclusive breastfeeding and the reduction of stunting and wasting are protective parents supported by meta-analytic evidence. Environmental determinants — access to safe water and sanitation — modify diarrhoeal risk and are included as structural parents.</w:t>
      </w:r>
    </w:p>
    <w:p>
      <w:pPr>
        <w:spacing w:after="130" w:line="278"/>
        <w:jc w:val="both"/>
      </w:pPr>
      <w:r>
        <w:rPr>
          <w:sz w:val="21"/>
          <w:szCs w:val="21"/>
        </w:rPr>
        <w:t xml:space="preserve">System and socioeconomic determinants shape delivery and demand. Facility readiness and community health workers determine whether case-management reaches sick children, travel time is a barrier to care, and maternal education is a well-established distal protective determinant acting through care-seeking and hygiene practices. The disease parents (pneumonia, diarrhoea, malaria) tie the module to the malaria network and to seasonal and climatic drivers.</w:t>
      </w:r>
    </w:p>
    <w:p>
      <w:pPr>
        <w:pStyle w:val="Heading3"/>
      </w:pPr>
      <w:r>
        <w:rPr>
          <w:b/>
          <w:bCs/>
          <w:color w:val="1C7C74"/>
        </w:rPr>
        <w:t xml:space="preserve">The modelling framework</w:t>
      </w:r>
    </w:p>
    <w:p>
      <w:pPr>
        <w:spacing w:after="130" w:line="278"/>
        <w:jc w:val="both"/>
      </w:pPr>
      <w:r>
        <w:rPr>
          <w:sz w:val="21"/>
          <w:szCs w:val="21"/>
        </w:rPr>
        <w:t xml:space="preserve">Child mortality (1–59 months) is an outcome node on the log link, anchored to the observed value, again using cause-deletion coefficients so that each intervention reduces the rate in proportion to the cause share it addresses, its efficacy and the affected fraction. Immunisation, oral rehydration and zinc, pneumonia care, malaria interventions and nutrition carry negative signs; the environmental and educational determinants act protectively.</w:t>
      </w:r>
    </w:p>
    <w:p>
      <w:pPr>
        <w:spacing w:after="130" w:line="278"/>
        <w:jc w:val="both"/>
      </w:pPr>
      <w:r>
        <w:rPr>
          <w:sz w:val="21"/>
          <w:szCs w:val="21"/>
        </w:rPr>
        <w:t xml:space="preserve">The module shares parents with the malaria and SRHR networks, so a vector-control scenario or a birth-spacing scenario has coherent knock-on effects on child survival. Interventions combine multiplicatively on the log scale, which is a conservative approximation where interventions reach overlapping populations.</w:t>
      </w:r>
    </w:p>
    <w:p>
      <w:pPr>
        <w:spacing w:after="130" w:line="278"/>
        <w:jc w:val="both"/>
      </w:pPr>
      <w:r>
        <w:rPr>
          <w:sz w:val="21"/>
          <w:szCs w:val="21"/>
        </w:rPr>
        <w:t xml:space="preserve">Monte-Carlo propagation yields a credible interval on the projected rate. This outcome is the post-neonatal segment that, with the neonatal segment, reconstitutes under-five mortality in Section 5.5, so improvements here flow upward to the integrating node.</w:t>
      </w:r>
    </w:p>
    <w:p>
      <w:pPr>
        <w:spacing w:after="130" w:line="278"/>
        <w:jc w:val="both"/>
      </w:pPr>
      <w:r>
        <w:rPr>
          <w:sz w:val="21"/>
          <w:szCs w:val="21"/>
        </w:rPr>
        <w:t xml:space="preserve">The assumptions mirror those of the neonatal module: the reduced-form cause structure, multiplicative combination, and an ecological single-period design. Water and sanitation are treated as modifiers of diarrhoeal risk rather than independent causes. Outputs are illustrative and should be validated against UN IGME and Countdown-to-2030 estimates.</w:t>
      </w:r>
    </w:p>
    <w:p>
      <w:r>
        <w:br w:type="page"/>
      </w:r>
    </w:p>
    <w:p>
      <w:pPr>
        <w:pStyle w:val="Heading1"/>
      </w:pPr>
      <w:r>
        <w:rPr>
          <w:b/>
          <w:bCs/>
          <w:color w:val="0B132B"/>
        </w:rPr>
        <w:t xml:space="preserve">5.5 Under-five mortality</w:t>
      </w:r>
    </w:p>
    <w:p>
      <w:pPr>
        <w:spacing w:after="90" w:line="270"/>
      </w:pPr>
      <w:r>
        <w:rPr>
          <w:b/>
          <w:bCs/>
          <w:color w:val="1C7C74"/>
        </w:rPr>
        <w:t xml:space="preserve">Outcome. </w:t>
      </w:r>
      <w:r>
        <w:rPr>
          <w:sz w:val="21"/>
          <w:szCs w:val="21"/>
        </w:rPr>
        <w:t xml:space="preserve">Under-five mortality rate (deaths before age five per 1,000 live births) — the integrating child-survival outcome.</w:t>
      </w:r>
    </w:p>
    <w:p>
      <w:pPr>
        <w:pStyle w:val="Heading3"/>
      </w:pPr>
      <w:r>
        <w:rPr>
          <w:b/>
          <w:bCs/>
          <w:color w:val="1C7C74"/>
        </w:rPr>
        <w:t xml:space="preserve">Introduction</w:t>
      </w:r>
    </w:p>
    <w:p>
      <w:pPr>
        <w:spacing w:after="130" w:line="278"/>
        <w:jc w:val="both"/>
      </w:pPr>
      <w:r>
        <w:rPr>
          <w:sz w:val="21"/>
          <w:szCs w:val="21"/>
        </w:rPr>
        <w:t xml:space="preserve">Under-five mortality is the headline child-survival indicator and an SDG 3 target in its own right. It is naturally decomposed into a neonatal segment (0–28 days) and a post-neonatal child segment (1–59 months), each driven by different causes and interventions. The scenario question is how far the under-five rate could fall under a coordinated package that addresses both segments, and which segment offers the greater marginal return in a given country.</w:t>
      </w:r>
    </w:p>
    <w:p>
      <w:pPr>
        <w:spacing w:after="130" w:line="278"/>
        <w:jc w:val="both"/>
      </w:pPr>
      <w:r>
        <w:rPr>
          <w:sz w:val="21"/>
          <w:szCs w:val="21"/>
        </w:rPr>
        <w:t xml:space="preserve">This module is deliberately an integrating node rather than a stand-alone model: it combines the neonatal and child networks so that a single scenario can move both segments and the platform reports one coherent under-five figure. It is the natural entry point for child-survival planning and feeds directly into the SDG 3 attainment node.</w:t>
      </w:r>
    </w:p>
    <w:p>
      <w:pPr>
        <w:pStyle w:val="Heading3"/>
      </w:pPr>
      <w:r>
        <w:rPr>
          <w:b/>
          <w:bCs/>
          <w:color w:val="1C7C74"/>
        </w:rPr>
        <w:t xml:space="preserve">Predictors and evidence from the literature</w:t>
      </w:r>
    </w:p>
    <w:p>
      <w:pPr>
        <w:spacing w:after="130" w:line="278"/>
        <w:jc w:val="both"/>
      </w:pPr>
      <w:r>
        <w:rPr>
          <w:sz w:val="21"/>
          <w:szCs w:val="21"/>
        </w:rPr>
        <w:t xml:space="preserve">The parents of under-five mortality are, first, the two component outcomes — neonatal mortality and child (1–59 month) mortality — each modelled by its own network with its own predictors. Everything that drives those segments therefore drives under-five mortality, from intrapartum care and newborn interventions to immunisation, case-management and nutrition.</w:t>
      </w:r>
    </w:p>
    <w:p>
      <w:pPr>
        <w:spacing w:after="130" w:line="278"/>
        <w:jc w:val="both"/>
      </w:pPr>
      <w:r>
        <w:rPr>
          <w:sz w:val="21"/>
          <w:szCs w:val="21"/>
        </w:rPr>
        <w:t xml:space="preserve">Additional shared determinants act across both segments. Health-system readiness, immunisation and nutrition are common parents; disease burden and household poverty are structural risk factors; and conflict is an exogenous shock. Birth spacing and met need for family planning, drawn from the SRHR network, lower under-five mortality by reducing high-risk short-interval births, a well-established relationship in the demographic literature.</w:t>
      </w:r>
    </w:p>
    <w:p>
      <w:pPr>
        <w:spacing w:after="130" w:line="278"/>
        <w:jc w:val="both"/>
      </w:pPr>
      <w:r>
        <w:rPr>
          <w:sz w:val="21"/>
          <w:szCs w:val="21"/>
        </w:rPr>
        <w:t xml:space="preserve">Because the module aggregates two segments, its evidence base is the union of the neonatal and child evidence — the Lives Saved Tool synthesis, the immunisation and case-management trials, and the nutrition meta-analyses — rather than a separate set of effect sizes. This makes the under-five node transparent: its behaviour is fully explained by its two component networks.</w:t>
      </w:r>
    </w:p>
    <w:p>
      <w:pPr>
        <w:pStyle w:val="Heading3"/>
      </w:pPr>
      <w:r>
        <w:rPr>
          <w:b/>
          <w:bCs/>
          <w:color w:val="1C7C74"/>
        </w:rPr>
        <w:t xml:space="preserve">The modelling framework</w:t>
      </w:r>
    </w:p>
    <w:p>
      <w:pPr>
        <w:spacing w:after="130" w:line="278"/>
        <w:jc w:val="both"/>
      </w:pPr>
      <w:r>
        <w:rPr>
          <w:sz w:val="21"/>
          <w:szCs w:val="21"/>
        </w:rPr>
        <w:t xml:space="preserve">Under-five survival is modelled as the product of neonatal and post-neonatal survival probabilities, which, expressed per 1,000 live births, makes the under-five rate the exact sum of the neonatal rate and the post-neonatal (1–59 month) rate. Each segment is projected by its own cause-deletion network and the two are recombined, so the decomposition is coherent by construction (a property asserted in the automated tests).</w:t>
      </w:r>
    </w:p>
    <w:p>
      <w:pPr>
        <w:spacing w:after="130" w:line="278"/>
        <w:jc w:val="both"/>
      </w:pPr>
      <w:r>
        <w:rPr>
          <w:sz w:val="21"/>
          <w:szCs w:val="21"/>
        </w:rPr>
        <w:t xml:space="preserve">A scenario applied at the under-five level distributes to the appropriate segment: newborn-care levers move the neonatal segment while immunisation and case-management levers move the child segment, and cross-domain levers such as birth spacing move both. This lets planners see the segment-specific mechanism behind an aggregate change.</w:t>
      </w:r>
    </w:p>
    <w:p>
      <w:pPr>
        <w:spacing w:after="130" w:line="278"/>
        <w:jc w:val="both"/>
      </w:pPr>
      <w:r>
        <w:rPr>
          <w:sz w:val="21"/>
          <w:szCs w:val="21"/>
        </w:rPr>
        <w:t xml:space="preserve">Monte-Carlo propagation combines the uncertainty of both segments, so the under-five credible interval inherits the uncertainty of every determinant in both networks. The node then feeds the SDG 3 attainment model as one of its parent outcomes.</w:t>
      </w:r>
    </w:p>
    <w:p>
      <w:pPr>
        <w:spacing w:after="130" w:line="278"/>
        <w:jc w:val="both"/>
      </w:pPr>
      <w:r>
        <w:rPr>
          <w:sz w:val="21"/>
          <w:szCs w:val="21"/>
        </w:rPr>
        <w:t xml:space="preserve">The assumptions are those of the two component networks plus the segment-combination identity; the additive per-1,000-live-births decomposition is exact under that identity. Outputs are illustrative and should be validated against UN IGME estimates.</w:t>
      </w:r>
    </w:p>
    <w:p>
      <w:r>
        <w:br w:type="page"/>
      </w:r>
    </w:p>
    <w:p>
      <w:pPr>
        <w:pStyle w:val="Heading1"/>
      </w:pPr>
      <w:r>
        <w:rPr>
          <w:b/>
          <w:bCs/>
          <w:color w:val="0B132B"/>
        </w:rPr>
        <w:t xml:space="preserve">5.6 Universal Health Coverage</w:t>
      </w:r>
    </w:p>
    <w:p>
      <w:pPr>
        <w:spacing w:after="90" w:line="270"/>
      </w:pPr>
      <w:r>
        <w:rPr>
          <w:b/>
          <w:bCs/>
          <w:color w:val="1C7C74"/>
        </w:rPr>
        <w:t xml:space="preserve">Outcome. </w:t>
      </w:r>
      <w:r>
        <w:rPr>
          <w:sz w:val="21"/>
          <w:szCs w:val="21"/>
        </w:rPr>
        <w:t xml:space="preserve">Service coverage index (0–100) and financial protection, with secondary nodes for effective coverage, equity and quality-adjusted UHC.</w:t>
      </w:r>
    </w:p>
    <w:p>
      <w:pPr>
        <w:pStyle w:val="Heading3"/>
      </w:pPr>
      <w:r>
        <w:rPr>
          <w:b/>
          <w:bCs/>
          <w:color w:val="1C7C74"/>
        </w:rPr>
        <w:t xml:space="preserve">Introduction</w:t>
      </w:r>
    </w:p>
    <w:p>
      <w:pPr>
        <w:spacing w:after="130" w:line="278"/>
        <w:jc w:val="both"/>
      </w:pPr>
      <w:r>
        <w:rPr>
          <w:sz w:val="21"/>
          <w:szCs w:val="21"/>
        </w:rPr>
        <w:t xml:space="preserve">Universal Health Coverage is the organising goal of the health system: that everyone can use the services they need, of sufficient quality, without financial hardship. It is monitored through a service coverage index built from tracer indicators and through measures of financial protection such as the incidence of catastrophic health expenditure. The scenario question is how coverage and financial protection would respond to changes in financing, workforce, medicines and governance.</w:t>
      </w:r>
    </w:p>
    <w:p>
      <w:pPr>
        <w:spacing w:after="130" w:line="278"/>
        <w:jc w:val="both"/>
      </w:pPr>
      <w:r>
        <w:rPr>
          <w:sz w:val="21"/>
          <w:szCs w:val="21"/>
        </w:rPr>
        <w:t xml:space="preserve">This module captures the whole health system — population need, service delivery, financing, workforce, commodities, digital health and governance — because UHC is precisely the emergent property of these subsystems working together. It is designed to test investment scenarios (for example raising government health expenditure while reducing out-of-pocket reliance) and to expose the trade-off between expanding service coverage and protecting households from cost.</w:t>
      </w:r>
    </w:p>
    <w:p>
      <w:pPr>
        <w:pStyle w:val="Heading3"/>
      </w:pPr>
      <w:r>
        <w:rPr>
          <w:b/>
          <w:bCs/>
          <w:color w:val="1C7C74"/>
        </w:rPr>
        <w:t xml:space="preserve">Predictors and evidence from the literature</w:t>
      </w:r>
    </w:p>
    <w:p>
      <w:pPr>
        <w:spacing w:after="130" w:line="278"/>
        <w:jc w:val="both"/>
      </w:pPr>
      <w:r>
        <w:rPr>
          <w:sz w:val="21"/>
          <w:szCs w:val="21"/>
        </w:rPr>
        <w:t xml:space="preserve">Service-coverage predictors are the tracer interventions across reproductive, maternal, newborn and child health, infectious disease, non-communicable disease and service capacity. The service coverage index is, by construction, a geometric mean of these tracers, so improving any domain of coverage raises the index, with diminishing returns as coverage approaches saturation.</w:t>
      </w:r>
    </w:p>
    <w:p>
      <w:pPr>
        <w:spacing w:after="130" w:line="278"/>
        <w:jc w:val="both"/>
      </w:pPr>
      <w:r>
        <w:rPr>
          <w:sz w:val="21"/>
          <w:szCs w:val="21"/>
        </w:rPr>
        <w:t xml:space="preserve">Financing predictors are central to both coverage and protection. Government health expenditure and pooled prepayment expand access, while a high out-of-pocket share drives catastrophic and impoverishing expenditure; donor dependency introduces sustainability risk. The health-financing literature and the WHO/World Bank UHC monitoring reports document the transition from out-of-pocket toward prepaid, pooled financing as central to progress on both dimensions.</w:t>
      </w:r>
    </w:p>
    <w:p>
      <w:pPr>
        <w:spacing w:after="130" w:line="278"/>
        <w:jc w:val="both"/>
      </w:pPr>
      <w:r>
        <w:rPr>
          <w:sz w:val="21"/>
          <w:szCs w:val="21"/>
        </w:rPr>
        <w:t xml:space="preserve">System and structural predictors complete the network: health-workforce density, essential-medicine and diagnostic availability, facility density and access, and digital-health and HIS maturity determine the capacity to deliver services, while governance (strategy and policy implementation, decentralisation, accountability) and population factors (poverty, education, vulnerable populations) and emergency shocks modulate the system. Readiness and workforce enter as production inputs with concave returns.</w:t>
      </w:r>
    </w:p>
    <w:p>
      <w:pPr>
        <w:pStyle w:val="Heading3"/>
      </w:pPr>
      <w:r>
        <w:rPr>
          <w:b/>
          <w:bCs/>
          <w:color w:val="1C7C74"/>
        </w:rPr>
        <w:t xml:space="preserve">The modelling framework</w:t>
      </w:r>
    </w:p>
    <w:p>
      <w:pPr>
        <w:spacing w:after="130" w:line="278"/>
        <w:jc w:val="both"/>
      </w:pPr>
      <w:r>
        <w:rPr>
          <w:sz w:val="21"/>
          <w:szCs w:val="21"/>
        </w:rPr>
        <w:t xml:space="preserve">The service coverage index is an outcome node modelled as a financing-and-inputs production function with diminishing returns, expressed on a link that keeps the index in its bounded range; financial protection is a separate outcome node in which the incidence of catastrophic expenditure rises with the out-of-pocket share and falls with prepayment and coverage. Treating coverage and protection as two outcomes makes explicit the possibility of expanding services while financial hardship persists.</w:t>
      </w:r>
    </w:p>
    <w:p>
      <w:pPr>
        <w:spacing w:after="130" w:line="278"/>
        <w:jc w:val="both"/>
      </w:pPr>
      <w:r>
        <w:rPr>
          <w:sz w:val="21"/>
          <w:szCs w:val="21"/>
        </w:rPr>
        <w:t xml:space="preserve">Financing enters with concave (diminishing-returns) structure, reflecting the empirical flattening of the coverage response at higher spending; workforce, medicines and readiness are complementary inputs. Governance and HIS maturity act as efficiency multipliers on the translation of spending into coverage.</w:t>
      </w:r>
    </w:p>
    <w:p>
      <w:pPr>
        <w:spacing w:after="130" w:line="278"/>
        <w:jc w:val="both"/>
      </w:pPr>
      <w:r>
        <w:rPr>
          <w:sz w:val="21"/>
          <w:szCs w:val="21"/>
        </w:rPr>
        <w:t xml:space="preserve">Monte-Carlo propagation yields credible intervals on both the coverage index and the catastrophic-expenditure incidence, and scenarios can report the probability of crossing a policy threshold. The UHC outcomes feed the SDG 3 node as enablers.</w:t>
      </w:r>
    </w:p>
    <w:p>
      <w:pPr>
        <w:spacing w:after="130" w:line="278"/>
        <w:jc w:val="both"/>
      </w:pPr>
      <w:r>
        <w:rPr>
          <w:sz w:val="21"/>
          <w:szCs w:val="21"/>
        </w:rPr>
        <w:t xml:space="preserve">The assumptions are the geometric-mean structure of the index, the concavity of the financing response, and the separation of coverage from protection. The module is ecological and single-period. Outputs are illustrative and should be validated against the WHO/World Bank UHC global monitoring figures.</w:t>
      </w:r>
    </w:p>
    <w:p>
      <w:r>
        <w:br w:type="page"/>
      </w:r>
    </w:p>
    <w:p>
      <w:pPr>
        <w:pStyle w:val="Heading1"/>
      </w:pPr>
      <w:r>
        <w:rPr>
          <w:b/>
          <w:bCs/>
          <w:color w:val="0B132B"/>
        </w:rPr>
        <w:t xml:space="preserve">5.7 Tuberculosis</w:t>
      </w:r>
    </w:p>
    <w:p>
      <w:pPr>
        <w:spacing w:after="90" w:line="270"/>
      </w:pPr>
      <w:r>
        <w:rPr>
          <w:b/>
          <w:bCs/>
          <w:color w:val="1C7C74"/>
        </w:rPr>
        <w:t xml:space="preserve">Outcome. </w:t>
      </w:r>
      <w:r>
        <w:rPr>
          <w:sz w:val="21"/>
          <w:szCs w:val="21"/>
        </w:rPr>
        <w:t xml:space="preserve">TB incidence (per 100,000 population), with secondary nodes for TB mortality and treatment success.</w:t>
      </w:r>
    </w:p>
    <w:p>
      <w:pPr>
        <w:pStyle w:val="Heading3"/>
      </w:pPr>
      <w:r>
        <w:rPr>
          <w:b/>
          <w:bCs/>
          <w:color w:val="1C7C74"/>
        </w:rPr>
        <w:t xml:space="preserve">Introduction</w:t>
      </w:r>
    </w:p>
    <w:p>
      <w:pPr>
        <w:spacing w:after="130" w:line="278"/>
        <w:jc w:val="both"/>
      </w:pPr>
      <w:r>
        <w:rPr>
          <w:sz w:val="21"/>
          <w:szCs w:val="21"/>
        </w:rPr>
        <w:t xml:space="preserve">Tuberculosis remains a leading infectious cause of death in the African Region and is tightly coupled to the HIV epidemic, since HIV is the strongest individual risk factor for progression from infection to disease. Control depends on finding people with TB promptly, curing them reliably, and preventing progression in those infected — the find, treat and prevent pillars of the End TB Strategy. The scenario question is how far incidence could fall if case detection, treatment success and preventive therapy improved, in the presence of HIV, undernutrition and other risk factors.</w:t>
      </w:r>
    </w:p>
    <w:p>
      <w:pPr>
        <w:spacing w:after="130" w:line="278"/>
        <w:jc w:val="both"/>
      </w:pPr>
      <w:r>
        <w:rPr>
          <w:sz w:val="21"/>
          <w:szCs w:val="21"/>
        </w:rPr>
        <w:t xml:space="preserve">This module represents TB transmission through a find-treat-cure cascade analogous to the HIV treatment cascade: the size of the infectious, untreated pool determines transmission, and shortening the time a person is infectious is the central lever. It is designed to test combined scenarios — for example scaling rapid molecular diagnostics and community screening while improving drug availability and digital adherence support — and to represent the amplifying effect of HIV co-infection and undernutrition.</w:t>
      </w:r>
    </w:p>
    <w:p>
      <w:pPr>
        <w:pStyle w:val="Heading3"/>
      </w:pPr>
      <w:r>
        <w:rPr>
          <w:b/>
          <w:bCs/>
          <w:color w:val="1C7C74"/>
        </w:rPr>
        <w:t xml:space="preserve">Predictors and evidence from the literature</w:t>
      </w:r>
    </w:p>
    <w:p>
      <w:pPr>
        <w:spacing w:after="130" w:line="278"/>
        <w:jc w:val="both"/>
      </w:pPr>
      <w:r>
        <w:rPr>
          <w:sz w:val="21"/>
          <w:szCs w:val="21"/>
        </w:rPr>
        <w:t xml:space="preserve">The intermediate determinants are the components of the cascade. Case detection — driven by access to rapid molecular diagnostics such as GeneXpert, community and contact screening, and health-information-system maturity — determines how quickly infectious cases are identified. Treatment success — driven by drug availability and adherence support, including digital tools — determines whether detected cases are cured. Together, detection and cure shorten the infectious period, which in the Styblo tradition is the key determinant of transmission and hence incidence.</w:t>
      </w:r>
    </w:p>
    <w:p>
      <w:pPr>
        <w:spacing w:after="130" w:line="278"/>
        <w:jc w:val="both"/>
      </w:pPr>
      <w:r>
        <w:rPr>
          <w:sz w:val="21"/>
          <w:szCs w:val="21"/>
        </w:rPr>
        <w:t xml:space="preserve">Preventive interventions act on the reservoir. TB preventive therapy reduces progression from latent infection to disease, with particularly strong effects among people living with HIV and household contacts, as shown in preventive-therapy trials. Reducing the infectious period through active case-finding has been evaluated in community-randomised trials (for example ZAMSTAR and ACT3) with modest but real population effects, informing conservative coefficients.</w:t>
      </w:r>
    </w:p>
    <w:p>
      <w:pPr>
        <w:spacing w:after="130" w:line="278"/>
        <w:jc w:val="both"/>
      </w:pPr>
      <w:r>
        <w:rPr>
          <w:sz w:val="21"/>
          <w:szCs w:val="21"/>
        </w:rPr>
        <w:t xml:space="preserve">Risk and structural determinants raise incidence. HIV co-infection is the dominant amplifier in the Region and enters as a strong positive parent, partially offset by ART coverage; undernutrition carries a large population-attributable fraction; and smoking, diabetes, poverty and overcrowding are established risk factors. Laboratory-network strength, drug supply and community-screening capacity are system determinants that gate the cascade.</w:t>
      </w:r>
    </w:p>
    <w:p>
      <w:pPr>
        <w:pStyle w:val="Heading3"/>
      </w:pPr>
      <w:r>
        <w:rPr>
          <w:b/>
          <w:bCs/>
          <w:color w:val="1C7C74"/>
        </w:rPr>
        <w:t xml:space="preserve">The modelling framework</w:t>
      </w:r>
    </w:p>
    <w:p>
      <w:pPr>
        <w:spacing w:after="130" w:line="278"/>
        <w:jc w:val="both"/>
      </w:pPr>
      <w:r>
        <w:rPr>
          <w:sz w:val="21"/>
          <w:szCs w:val="21"/>
        </w:rPr>
        <w:t xml:space="preserve">TB incidence is an outcome node on the log link, anchored to the observed value. Case detection and treatment success are modelled as intermediate probability nodes with their own system parents, and they enter incidence with negative signs because raising them shortens the infectious period; preventive therapy also carries a negative sign, while HIV prevalence, undernutrition and the other risk factors carry positive signs and ART coverage a protective negative sign.</w:t>
      </w:r>
    </w:p>
    <w:p>
      <w:pPr>
        <w:spacing w:after="130" w:line="278"/>
        <w:jc w:val="both"/>
      </w:pPr>
      <w:r>
        <w:rPr>
          <w:sz w:val="21"/>
          <w:szCs w:val="21"/>
        </w:rPr>
        <w:t xml:space="preserve">The cascade structure means interventions on leaf nodes propagate correctly: a scenario that raises GeneXpert access and community screening increases case detection, which lowers incidence, while improving drug availability and digital adherence raises treatment success with a further reduction. The reference implementation shows a combined find-treat-cure package lowering incidence by roughly a third with a full credible interval, and confirms that the do-operator raises case detection and lowers incidence as intended.</w:t>
      </w:r>
    </w:p>
    <w:p>
      <w:pPr>
        <w:spacing w:after="130" w:line="278"/>
        <w:jc w:val="both"/>
      </w:pPr>
      <w:r>
        <w:rPr>
          <w:sz w:val="21"/>
          <w:szCs w:val="21"/>
        </w:rPr>
        <w:t xml:space="preserve">Coefficients are elicited from the Global TB programme evidence and the preventive-therapy and active-case-finding trials, on the logit scale for the cascade nodes and the log scale for incidence, and are updated to posteriors where surveillance panels are mined. Monte-Carlo propagation gives the credible interval and the probability of reaching a target incidence.</w:t>
      </w:r>
    </w:p>
    <w:p>
      <w:pPr>
        <w:spacing w:after="130" w:line="278"/>
        <w:jc w:val="both"/>
      </w:pPr>
      <w:r>
        <w:rPr>
          <w:sz w:val="21"/>
          <w:szCs w:val="21"/>
        </w:rPr>
        <w:t xml:space="preserve">The assumptions are the find-treat-cure causal structure, the sign constraints, and a single-period ecological representation that captures transmission through the infectious-pool proxy rather than a full dynamic compartmental model. HIV co-infection is assumed to act multiplicatively. Outputs are illustrative and should be validated against WHO Global TB Report estimates and, where available, dynamic TB models.</w:t>
      </w:r>
    </w:p>
    <w:p>
      <w:r>
        <w:br w:type="page"/>
      </w:r>
    </w:p>
    <w:p>
      <w:pPr>
        <w:pStyle w:val="Heading1"/>
      </w:pPr>
      <w:r>
        <w:rPr>
          <w:b/>
          <w:bCs/>
          <w:color w:val="0B132B"/>
        </w:rPr>
        <w:t xml:space="preserve">5.8 Malaria</w:t>
      </w:r>
    </w:p>
    <w:p>
      <w:pPr>
        <w:spacing w:after="90" w:line="270"/>
      </w:pPr>
      <w:r>
        <w:rPr>
          <w:b/>
          <w:bCs/>
          <w:color w:val="1C7C74"/>
        </w:rPr>
        <w:t xml:space="preserve">Outcome. </w:t>
      </w:r>
      <w:r>
        <w:rPr>
          <w:sz w:val="21"/>
          <w:szCs w:val="21"/>
        </w:rPr>
        <w:t xml:space="preserve">Malaria incidence (per 1,000 population at risk), with a secondary mortality node.</w:t>
      </w:r>
    </w:p>
    <w:p>
      <w:pPr>
        <w:pStyle w:val="Heading3"/>
      </w:pPr>
      <w:r>
        <w:rPr>
          <w:b/>
          <w:bCs/>
          <w:color w:val="1C7C74"/>
        </w:rPr>
        <w:t xml:space="preserve">Introduction</w:t>
      </w:r>
    </w:p>
    <w:p>
      <w:pPr>
        <w:spacing w:after="130" w:line="278"/>
        <w:jc w:val="both"/>
      </w:pPr>
      <w:r>
        <w:rPr>
          <w:sz w:val="21"/>
          <w:szCs w:val="21"/>
        </w:rPr>
        <w:t xml:space="preserve">Malaria remains hyperendemic across much of the African Region, which bears the overwhelming majority of global cases and deaths, concentrated in young children. Control rests on vector control, chemoprevention, prompt diagnosis and treatment, and increasingly on vaccination, all of which are sensitive to supply-chain reliability and to climatic conditions. The scenario question is how far incidence could fall under scaled vector control and chemoprevention, and how much a climatic shock such as flooding could reverse gains.</w:t>
      </w:r>
    </w:p>
    <w:p>
      <w:pPr>
        <w:spacing w:after="130" w:line="278"/>
        <w:jc w:val="both"/>
      </w:pPr>
      <w:r>
        <w:rPr>
          <w:sz w:val="21"/>
          <w:szCs w:val="21"/>
        </w:rPr>
        <w:t xml:space="preserve">This module represents incidence as the observed baseline scaled by multiplicative reductions from the main interventions, mirroring the combination-prevention logic of the HIV network, with an explicit environmental and shock layer. It is designed to test vector-control and chemoprevention packages and to quantify the vulnerability of malaria control to climate shocks and supply disruption.</w:t>
      </w:r>
    </w:p>
    <w:p>
      <w:pPr>
        <w:pStyle w:val="Heading3"/>
      </w:pPr>
      <w:r>
        <w:rPr>
          <w:b/>
          <w:bCs/>
          <w:color w:val="1C7C74"/>
        </w:rPr>
        <w:t xml:space="preserve">Predictors and evidence from the literature</w:t>
      </w:r>
    </w:p>
    <w:p>
      <w:pPr>
        <w:spacing w:after="130" w:line="278"/>
        <w:jc w:val="both"/>
      </w:pPr>
      <w:r>
        <w:rPr>
          <w:sz w:val="21"/>
          <w:szCs w:val="21"/>
        </w:rPr>
        <w:t xml:space="preserve">The intermediate determinants are the core interventions. Insecticide-treated nets are the workhorse of vector control, with the Cochrane review evidence indicating roughly a halving of clinical malaria and a substantial reduction in child mortality; indoor residual spraying reduces vectorial capacity; seasonal malaria chemoprevention reduces incidence markedly in eligible areas; and prompt treatment with artemisinin-based combination therapy, supported by rapid diagnostic testing, reduces progression and onward transmission. Malaria vaccines add a further protective layer where deployed.</w:t>
      </w:r>
    </w:p>
    <w:p>
      <w:pPr>
        <w:spacing w:after="130" w:line="278"/>
        <w:jc w:val="both"/>
      </w:pPr>
      <w:r>
        <w:rPr>
          <w:sz w:val="21"/>
          <w:szCs w:val="21"/>
        </w:rPr>
        <w:t xml:space="preserve">Environmental and shock determinants drive transmission. Rainfall and temperature govern vector abundance and the parasite's extrinsic incubation, and floods produce transmission surges alongside service disruption; these enter as risk parents. Housing quality is protective, consistent with evidence that improved housing reduces indoor vector exposure. Insecticide resistance is an emerging modifier of net and spray effectiveness.</w:t>
      </w:r>
    </w:p>
    <w:p>
      <w:pPr>
        <w:spacing w:after="130" w:line="278"/>
        <w:jc w:val="both"/>
      </w:pPr>
      <w:r>
        <w:rPr>
          <w:sz w:val="21"/>
          <w:szCs w:val="21"/>
        </w:rPr>
        <w:t xml:space="preserve">System determinants gate delivery. Surveillance, supply chains and community health workers determine whether nets, diagnostics and treatments reach communities; the attribution analyses of the historical decline in African malaria (for example Bhatt and colleagues) credit the coordinated scale-up of these commodities, underlining the importance of the supply-chain node that links malaria control to HIS maturity.</w:t>
      </w:r>
    </w:p>
    <w:p>
      <w:pPr>
        <w:pStyle w:val="Heading3"/>
      </w:pPr>
      <w:r>
        <w:rPr>
          <w:b/>
          <w:bCs/>
          <w:color w:val="1C7C74"/>
        </w:rPr>
        <w:t xml:space="preserve">The modelling framework</w:t>
      </w:r>
    </w:p>
    <w:p>
      <w:pPr>
        <w:spacing w:after="130" w:line="278"/>
        <w:jc w:val="both"/>
      </w:pPr>
      <w:r>
        <w:rPr>
          <w:sz w:val="21"/>
          <w:szCs w:val="21"/>
        </w:rPr>
        <w:t xml:space="preserve">Malaria incidence is an outcome node on the log link, anchored to the observed value, with the vector-control and chemoprevention interventions entering as negative-sign parents that combine multiplicatively — a structure consistent with reductions in the entomological inoculation rate — while floods enter as a positive-sign shock. Supply chain enters protectively and is itself degraded by floods, so a climate shock both raises transmission directly and disrupts commodity delivery.</w:t>
      </w:r>
    </w:p>
    <w:p>
      <w:pPr>
        <w:spacing w:after="130" w:line="278"/>
        <w:jc w:val="both"/>
      </w:pPr>
      <w:r>
        <w:rPr>
          <w:sz w:val="21"/>
          <w:szCs w:val="21"/>
        </w:rPr>
        <w:t xml:space="preserve">This dual pathway is deliberate: the reference implementation shows a severe flood raising incidence by around 60% through the combined direct and supply-chain effects, and a vector-control scale-up roughly halving incidence, both with credible intervals. Interventions combine multiplicatively, a conservative approximation where nets and spraying protect overlapping populations.</w:t>
      </w:r>
    </w:p>
    <w:p>
      <w:pPr>
        <w:spacing w:after="130" w:line="278"/>
        <w:jc w:val="both"/>
      </w:pPr>
      <w:r>
        <w:rPr>
          <w:sz w:val="21"/>
          <w:szCs w:val="21"/>
        </w:rPr>
        <w:t xml:space="preserve">Coefficients are elicited from the intervention-efficacy literature and the attribution analyses, on the log and logit scales, and updated to posteriors where surveillance panels are mined. Monte-Carlo propagation yields the credible interval and the probability of reaching an incidence target.</w:t>
      </w:r>
    </w:p>
    <w:p>
      <w:pPr>
        <w:spacing w:after="130" w:line="278"/>
        <w:jc w:val="both"/>
      </w:pPr>
      <w:r>
        <w:rPr>
          <w:sz w:val="21"/>
          <w:szCs w:val="21"/>
        </w:rPr>
        <w:t xml:space="preserve">The assumptions are the multiplicative combination of interventions, the treatment of climate variables as exogenous shocks, and a single-period ecological representation rather than a full Ross–Macdonald dynamic model. Supply-chain gating reflects the commodity-delivery literature. Outputs are illustrative and should be validated against WHO Global Malaria Programme estimates.</w:t>
      </w:r>
    </w:p>
    <w:p>
      <w:r>
        <w:br w:type="page"/>
      </w:r>
    </w:p>
    <w:p>
      <w:pPr>
        <w:pStyle w:val="Heading1"/>
      </w:pPr>
      <w:r>
        <w:rPr>
          <w:b/>
          <w:bCs/>
          <w:color w:val="0B132B"/>
        </w:rPr>
        <w:t xml:space="preserve">5.9 Non-communicable diseases</w:t>
      </w:r>
    </w:p>
    <w:p>
      <w:pPr>
        <w:spacing w:after="90" w:line="270"/>
      </w:pPr>
      <w:r>
        <w:rPr>
          <w:b/>
          <w:bCs/>
          <w:color w:val="1C7C74"/>
        </w:rPr>
        <w:t xml:space="preserve">Outcome. </w:t>
      </w:r>
      <w:r>
        <w:rPr>
          <w:sz w:val="21"/>
          <w:szCs w:val="21"/>
        </w:rPr>
        <w:t xml:space="preserve">Unconditional probability of dying between ages 30 and 70 from cardiovascular disease, cancer, diabetes or chronic respiratory disease (SDG 3.4), with secondary control and survival nodes.</w:t>
      </w:r>
    </w:p>
    <w:p>
      <w:pPr>
        <w:pStyle w:val="Heading3"/>
      </w:pPr>
      <w:r>
        <w:rPr>
          <w:b/>
          <w:bCs/>
          <w:color w:val="1C7C74"/>
        </w:rPr>
        <w:t xml:space="preserve">Introduction</w:t>
      </w:r>
    </w:p>
    <w:p>
      <w:pPr>
        <w:spacing w:after="130" w:line="278"/>
        <w:jc w:val="both"/>
      </w:pPr>
      <w:r>
        <w:rPr>
          <w:sz w:val="21"/>
          <w:szCs w:val="21"/>
        </w:rPr>
        <w:t xml:space="preserve">Non-communicable diseases are a rising share of mortality in the African Region as populations age, urbanise and undergo epidemiological transition, yet health systems remain configured largely for acute and infectious care. The SDG 3.4 target is a one-third reduction in premature NCD mortality, measured as the probability of dying between exact ages 30 and 70 from the four major NCDs. The scenario question is how far this probability could fall through action on behavioural and metabolic risk factors and through improved treatment and control.</w:t>
      </w:r>
    </w:p>
    <w:p>
      <w:pPr>
        <w:spacing w:after="130" w:line="278"/>
        <w:jc w:val="both"/>
      </w:pPr>
      <w:r>
        <w:rPr>
          <w:sz w:val="21"/>
          <w:szCs w:val="21"/>
        </w:rPr>
        <w:t xml:space="preserve">This module uses a comparative-risk-assessment structure in which risk-factor prevalences and their relative risks drive attributable premature mortality, and service interventions reduce that mortality given exposure. It is designed to test the WHO best-buy interventions — tobacco and salt reduction, hypertension control — and to represent the counteracting effect of continued urbanisation and rising obesity.</w:t>
      </w:r>
    </w:p>
    <w:p>
      <w:pPr>
        <w:pStyle w:val="Heading3"/>
      </w:pPr>
      <w:r>
        <w:rPr>
          <w:b/>
          <w:bCs/>
          <w:color w:val="1C7C74"/>
        </w:rPr>
        <w:t xml:space="preserve">Predictors and evidence from the literature</w:t>
      </w:r>
    </w:p>
    <w:p>
      <w:pPr>
        <w:spacing w:after="130" w:line="278"/>
        <w:jc w:val="both"/>
      </w:pPr>
      <w:r>
        <w:rPr>
          <w:sz w:val="21"/>
          <w:szCs w:val="21"/>
        </w:rPr>
        <w:t xml:space="preserve">The behavioural and metabolic risk factors are the primary drivers. Tobacco use, harmful alcohol use, physical inactivity, unhealthy diet (notably high salt intake) and obesity raise premature NCD mortality through their effects on blood pressure, blood glucose and lipids; the Global Burden of Disease relative-risk estimates quantify these associations and underpin the population-attributable-fraction logic used here.</w:t>
      </w:r>
    </w:p>
    <w:p>
      <w:pPr>
        <w:spacing w:after="130" w:line="278"/>
        <w:jc w:val="both"/>
      </w:pPr>
      <w:r>
        <w:rPr>
          <w:sz w:val="21"/>
          <w:szCs w:val="21"/>
        </w:rPr>
        <w:t xml:space="preserve">Service and treatment determinants reduce mortality given exposure. Hypertension treatment and control (the target of the WHO HEARTS technical package), diabetes control, screening coverage, primary-care readiness, essential-medicine availability and digital follow-up all lower case-fatality and progression; the best-buy evidence and the HEARTS implementation experience inform their coefficients. Health insurance improves access to sustained treatment.</w:t>
      </w:r>
    </w:p>
    <w:p>
      <w:pPr>
        <w:spacing w:after="130" w:line="278"/>
        <w:jc w:val="both"/>
      </w:pPr>
      <w:r>
        <w:rPr>
          <w:sz w:val="21"/>
          <w:szCs w:val="21"/>
        </w:rPr>
        <w:t xml:space="preserve">Structural determinants shape exposure. Urbanisation is associated with higher NCD risk through diet, activity and tobacco and alcohol availability, and enters as a risk parent, while insurance and primary-care access enter protectively. The MPOWER measures for tobacco and the salt-reduction trial evidence provide the effect sizes for the corresponding behavioural levers.</w:t>
      </w:r>
    </w:p>
    <w:p>
      <w:pPr>
        <w:pStyle w:val="Heading3"/>
      </w:pPr>
      <w:r>
        <w:rPr>
          <w:b/>
          <w:bCs/>
          <w:color w:val="1C7C74"/>
        </w:rPr>
        <w:t xml:space="preserve">The modelling framework</w:t>
      </w:r>
    </w:p>
    <w:p>
      <w:pPr>
        <w:spacing w:after="130" w:line="278"/>
        <w:jc w:val="both"/>
      </w:pPr>
      <w:r>
        <w:rPr>
          <w:sz w:val="21"/>
          <w:szCs w:val="21"/>
        </w:rPr>
        <w:t xml:space="preserve">The premature-mortality probability is an outcome node on the logit link, keeping it in the unit interval, anchored to the observed value. Risk factors enter with positive signs and treatment-and-control and readiness nodes with negative signs; the structure is equivalent to a comparative-risk assessment in which the population attributable fraction combines risk-factor prevalences and relative risks, and interventions act by lowering prevalence or raising control.</w:t>
      </w:r>
    </w:p>
    <w:p>
      <w:pPr>
        <w:spacing w:after="130" w:line="278"/>
        <w:jc w:val="both"/>
      </w:pPr>
      <w:r>
        <w:rPr>
          <w:sz w:val="21"/>
          <w:szCs w:val="21"/>
        </w:rPr>
        <w:t xml:space="preserve">A scenario can lower a risk factor directly (for example a tobacco-reduction or salt-reduction best-buy) or raise a control node (for example hypertension control under HEARTS); the reference implementation shows the best-buy and HEARTS packages reducing premature mortality by roughly a third, while an urbanisation-trend scenario raises it. Effects combine additively on the logit scale.</w:t>
      </w:r>
    </w:p>
    <w:p>
      <w:pPr>
        <w:spacing w:after="130" w:line="278"/>
        <w:jc w:val="both"/>
      </w:pPr>
      <w:r>
        <w:rPr>
          <w:sz w:val="21"/>
          <w:szCs w:val="21"/>
        </w:rPr>
        <w:t xml:space="preserve">Coefficients are elicited from the Global Burden of Disease relative risks, the best-buy cost-effectiveness evidence and the HEARTS experience, and are updated to posteriors where STEPS survey panels are mined. Monte-Carlo propagation yields the credible interval and the probability of meeting the SDG 3.4 one-third-reduction target.</w:t>
      </w:r>
    </w:p>
    <w:p>
      <w:pPr>
        <w:spacing w:after="130" w:line="278"/>
        <w:jc w:val="both"/>
      </w:pPr>
      <w:r>
        <w:rPr>
          <w:sz w:val="21"/>
          <w:szCs w:val="21"/>
        </w:rPr>
        <w:t xml:space="preserve">The assumptions are the comparative-risk structure, the sign constraints, and a single-period ecological design; relative risks are treated as transportable to the AFRO context, an assumption to be checked against local STEPS data. Outputs are illustrative and should be validated against WHO NCD mortality estimates.</w:t>
      </w:r>
    </w:p>
    <w:p>
      <w:r>
        <w:br w:type="page"/>
      </w:r>
    </w:p>
    <w:p>
      <w:pPr>
        <w:pStyle w:val="Heading1"/>
      </w:pPr>
      <w:r>
        <w:rPr>
          <w:b/>
          <w:bCs/>
          <w:color w:val="0B132B"/>
        </w:rPr>
        <w:t xml:space="preserve">5.10 SRHR</w:t>
      </w:r>
    </w:p>
    <w:p>
      <w:pPr>
        <w:spacing w:after="90" w:line="270"/>
      </w:pPr>
      <w:r>
        <w:rPr>
          <w:b/>
          <w:bCs/>
          <w:color w:val="1C7C74"/>
        </w:rPr>
        <w:t xml:space="preserve">Outcome. </w:t>
      </w:r>
      <w:r>
        <w:rPr>
          <w:sz w:val="21"/>
          <w:szCs w:val="21"/>
        </w:rPr>
        <w:t xml:space="preserve">A sexual and reproductive health and rights coverage index (0–1), with downstream links to maternal and newborn survival.</w:t>
      </w:r>
    </w:p>
    <w:p>
      <w:pPr>
        <w:pStyle w:val="Heading3"/>
      </w:pPr>
      <w:r>
        <w:rPr>
          <w:b/>
          <w:bCs/>
          <w:color w:val="1C7C74"/>
        </w:rPr>
        <w:t xml:space="preserve">Introduction</w:t>
      </w:r>
    </w:p>
    <w:p>
      <w:pPr>
        <w:spacing w:after="130" w:line="278"/>
        <w:jc w:val="both"/>
      </w:pPr>
      <w:r>
        <w:rPr>
          <w:sz w:val="21"/>
          <w:szCs w:val="21"/>
        </w:rPr>
        <w:t xml:space="preserve">Sexual and reproductive health and rights underpin maternal and newborn survival, women's autonomy and demographic change, yet unmet need for contraception and gaps in adolescent and gender-based-violence services remain substantial across the Region. The scenario question is how far a composite SRHR coverage index could rise through investment in family planning, antenatal and delivery care, adolescent and GBV services, and the structural enablers of education and gender equity.</w:t>
      </w:r>
    </w:p>
    <w:p>
      <w:pPr>
        <w:spacing w:after="130" w:line="278"/>
        <w:jc w:val="both"/>
      </w:pPr>
      <w:r>
        <w:rPr>
          <w:sz w:val="21"/>
          <w:szCs w:val="21"/>
        </w:rPr>
        <w:t xml:space="preserve">This module treats SRHR as a positive coverage index — higher is better — driven by service coverage and structural enablers and lowered by risk factors such as adolescent fertility and gender inequality. It is explicitly connected to the maternal and child-survival networks through a demand-satisfied impact chain, so that gains in contraception translate into averted unintended pregnancies and, downstream, averted maternal and newborn deaths.</w:t>
      </w:r>
    </w:p>
    <w:p>
      <w:pPr>
        <w:pStyle w:val="Heading3"/>
      </w:pPr>
      <w:r>
        <w:rPr>
          <w:b/>
          <w:bCs/>
          <w:color w:val="1C7C74"/>
        </w:rPr>
        <w:t xml:space="preserve">Predictors and evidence from the literature</w:t>
      </w:r>
    </w:p>
    <w:p>
      <w:pPr>
        <w:spacing w:after="130" w:line="278"/>
        <w:jc w:val="both"/>
      </w:pPr>
      <w:r>
        <w:rPr>
          <w:sz w:val="21"/>
          <w:szCs w:val="21"/>
        </w:rPr>
        <w:t xml:space="preserve">The intermediate service determinants are modern contraceptive use, antenatal care, facility delivery and skilled attendance, and prevention of mother-to-child transmission. Modern contraception is the central lever: the Guttmacher Adding-It-Up analyses show that satisfying unmet need averts large numbers of unintended pregnancies, unsafe abortions and maternal deaths, which motivates its strong positive weight in the index and its downstream links.</w:t>
      </w:r>
    </w:p>
    <w:p>
      <w:pPr>
        <w:spacing w:after="130" w:line="278"/>
        <w:jc w:val="both"/>
      </w:pPr>
      <w:r>
        <w:rPr>
          <w:sz w:val="21"/>
          <w:szCs w:val="21"/>
        </w:rPr>
        <w:t xml:space="preserve">System and service-quality determinants include youth-friendly services, gender-based-violence services, commodity availability, health-workforce density and digital SRHR services; commodity security and workforce are prerequisites for translating demand into use, and are modelled as drivers of contraceptive uptake. The family-planning literature (including the Lancet family-planning series) provides the evidence base for these relationships.</w:t>
      </w:r>
    </w:p>
    <w:p>
      <w:pPr>
        <w:spacing w:after="130" w:line="278"/>
        <w:jc w:val="both"/>
      </w:pPr>
      <w:r>
        <w:rPr>
          <w:sz w:val="21"/>
          <w:szCs w:val="21"/>
        </w:rPr>
        <w:t xml:space="preserve">Structural determinants are decisive. Girls' education raises the index through autonomy and demand for services; gender inequality and adolescent fertility lower it and are modelled as risk parents; and these relationships are among the best-established in the demographic and public-health literature. The module thus captures both the supply of services and the structural conditions that shape their use.</w:t>
      </w:r>
    </w:p>
    <w:p>
      <w:pPr>
        <w:pStyle w:val="Heading3"/>
      </w:pPr>
      <w:r>
        <w:rPr>
          <w:b/>
          <w:bCs/>
          <w:color w:val="1C7C74"/>
        </w:rPr>
        <w:t xml:space="preserve">The modelling framework</w:t>
      </w:r>
    </w:p>
    <w:p>
      <w:pPr>
        <w:spacing w:after="130" w:line="278"/>
        <w:jc w:val="both"/>
      </w:pPr>
      <w:r>
        <w:rPr>
          <w:sz w:val="21"/>
          <w:szCs w:val="21"/>
        </w:rPr>
        <w:t xml:space="preserve">The SRHR index is a positive-outcome node on the logit link, bounded in the unit interval and anchored to the observed value. Because the outcome is beneficial rather than adverse, protective and service drivers carry positive signs (raising them raises the index) and risk factors — adolescent fertility, gender inequality — carry negative signs; modern contraception is itself an intermediate node driven by commodity availability and youth services.</w:t>
      </w:r>
    </w:p>
    <w:p>
      <w:pPr>
        <w:spacing w:after="130" w:line="278"/>
        <w:jc w:val="both"/>
      </w:pPr>
      <w:r>
        <w:rPr>
          <w:sz w:val="21"/>
          <w:szCs w:val="21"/>
        </w:rPr>
        <w:t xml:space="preserve">The demand-satisfied impact chain is layered on top: the additional contraceptive users generated by a scenario avert a quantifiable number of unintended pregnancies, which translate into averted maternal and newborn deaths, linking the SRHR node to the maternal and child-survival networks. The reference implementation shows a family-planning scale-up raising the index and, through the shared parents, improving maternal and child outcomes.</w:t>
      </w:r>
    </w:p>
    <w:p>
      <w:pPr>
        <w:spacing w:after="130" w:line="278"/>
        <w:jc w:val="both"/>
      </w:pPr>
      <w:r>
        <w:rPr>
          <w:sz w:val="21"/>
          <w:szCs w:val="21"/>
        </w:rPr>
        <w:t xml:space="preserve">Coefficients are elicited from the family-planning and Adding-It-Up evidence, on the logit scale, and updated to posteriors where DHS/MICS panels are mined. Monte-Carlo propagation gives the credible interval and, where a target index is set, the probability of achieving it.</w:t>
      </w:r>
    </w:p>
    <w:p>
      <w:pPr>
        <w:spacing w:after="130" w:line="278"/>
        <w:jc w:val="both"/>
      </w:pPr>
      <w:r>
        <w:rPr>
          <w:sz w:val="21"/>
          <w:szCs w:val="21"/>
        </w:rPr>
        <w:t xml:space="preserve">The assumptions are the positive-index structure with inverted sign conventions, the demand-satisfied chain linking contraception to averted deaths, and a single-period ecological design. Adolescent fertility and gender inequality are treated as structural risk parents rather than outcomes. Results are illustrative and should be validated against UNFPA and DHS estimates.</w:t>
      </w:r>
    </w:p>
    <w:p>
      <w:r>
        <w:br w:type="page"/>
      </w:r>
    </w:p>
    <w:p>
      <w:pPr>
        <w:pStyle w:val="Heading1"/>
      </w:pPr>
      <w:r>
        <w:rPr>
          <w:b/>
          <w:bCs/>
          <w:color w:val="0B132B"/>
        </w:rPr>
        <w:t xml:space="preserve">5.11 Routine HIS / HIS maturity</w:t>
      </w:r>
    </w:p>
    <w:p>
      <w:pPr>
        <w:spacing w:after="90" w:line="270"/>
      </w:pPr>
      <w:r>
        <w:rPr>
          <w:b/>
          <w:bCs/>
          <w:color w:val="1C7C74"/>
        </w:rPr>
        <w:t xml:space="preserve">Outcome. </w:t>
      </w:r>
      <w:r>
        <w:rPr>
          <w:sz w:val="21"/>
          <w:szCs w:val="21"/>
        </w:rPr>
        <w:t xml:space="preserve">A national HIS maturity index (0–100), built from the WHO AFRO HIS Functionality Assessment.</w:t>
      </w:r>
    </w:p>
    <w:p>
      <w:pPr>
        <w:pStyle w:val="Heading3"/>
      </w:pPr>
      <w:r>
        <w:rPr>
          <w:b/>
          <w:bCs/>
          <w:color w:val="1C7C74"/>
        </w:rPr>
        <w:t xml:space="preserve">Introduction</w:t>
      </w:r>
    </w:p>
    <w:p>
      <w:pPr>
        <w:spacing w:after="130" w:line="278"/>
        <w:jc w:val="both"/>
      </w:pPr>
      <w:r>
        <w:rPr>
          <w:sz w:val="21"/>
          <w:szCs w:val="21"/>
        </w:rPr>
        <w:t xml:space="preserve">A functional health-information system is the foundation on which every other health outcome depends, because planning, resource allocation and accountability all require timely, complete and accurate data. The WHO AFRO assessment of the maturity and functionality of health-information systems found the Region's systems to be at an early stage of maturity overall, with wide variation between countries and persistent gaps in governance, financing, workforce and digitalisation. The scenario question is how far a country's HIS maturity could rise through targeted investment across its domains.</w:t>
      </w:r>
    </w:p>
    <w:p>
      <w:pPr>
        <w:spacing w:after="130" w:line="278"/>
        <w:jc w:val="both"/>
      </w:pPr>
      <w:r>
        <w:rPr>
          <w:sz w:val="21"/>
          <w:szCs w:val="21"/>
        </w:rPr>
        <w:t xml:space="preserve">This module is unusual in that it is built directly on mined data: the country baselines come from the assessment itself rather than from simulation. It is designed to let planners test HIS strengthening scenarios — for example investing in governance and leadership or in digital data-generation capacity — and, because HIS maturity is an upstream determinant in every other network, to see how better information systems improve service delivery and outcomes across domains.</w:t>
      </w:r>
    </w:p>
    <w:p>
      <w:pPr>
        <w:pStyle w:val="Heading3"/>
      </w:pPr>
      <w:r>
        <w:rPr>
          <w:b/>
          <w:bCs/>
          <w:color w:val="1C7C74"/>
        </w:rPr>
        <w:t xml:space="preserve">Predictors and evidence from the literature</w:t>
      </w:r>
    </w:p>
    <w:p>
      <w:pPr>
        <w:spacing w:after="130" w:line="278"/>
        <w:jc w:val="both"/>
      </w:pPr>
      <w:r>
        <w:rPr>
          <w:sz w:val="21"/>
          <w:szCs w:val="21"/>
        </w:rPr>
        <w:t xml:space="preserve">The predictors are the four assessed domains of the HIS. Governance and leadership comprises organisational structure, strategic planning, policy development, partner coordination, financing and supportive supervision; data generation and management comprises routine reporting tools, electronic records, an integrated repository (DHIS2), disaggregated core data and a master facility list; data analysis and synthesis and communication and use comprise the capacities to turn data into information and to act on it. These domains and their sub-items are scored on a six-point scale in the assessment.</w:t>
      </w:r>
    </w:p>
    <w:p>
      <w:pPr>
        <w:spacing w:after="130" w:line="278"/>
        <w:jc w:val="both"/>
      </w:pPr>
      <w:r>
        <w:rPr>
          <w:sz w:val="21"/>
          <w:szCs w:val="21"/>
        </w:rPr>
        <w:t xml:space="preserve">The assessment's own findings inform the predictor structure and evidence. Near-universal DHIS2 adoption (in 43 of 47 Member States) has improved routine data availability, while financing for HIS is consistently the weakest sub-domain and civil-registration and vital-statistics systems remain incompletely functional. The PRISM framework — which distinguishes technical, organisational and behavioural determinants of routine-information-system performance — provides the conceptual basis for treating maturity as a composite of these determinants rather than a single technical score.</w:t>
      </w:r>
    </w:p>
    <w:p>
      <w:pPr>
        <w:spacing w:after="130" w:line="278"/>
        <w:jc w:val="both"/>
      </w:pPr>
      <w:r>
        <w:rPr>
          <w:sz w:val="21"/>
          <w:szCs w:val="21"/>
        </w:rPr>
        <w:t xml:space="preserve">Because the module uses mined data, its predictor values are empirical: governance and data-generation sub-scores are taken directly from the assessment tables for each of the 38 participating countries, and the overall maturity index and its bands (nascent, emerging, early, advanced, optimized) follow the assessment's classification. This grounds the module in observed national data rather than assumption.</w:t>
      </w:r>
    </w:p>
    <w:p>
      <w:pPr>
        <w:pStyle w:val="Heading3"/>
      </w:pPr>
      <w:r>
        <w:rPr>
          <w:b/>
          <w:bCs/>
          <w:color w:val="1C7C74"/>
        </w:rPr>
        <w:t xml:space="preserve">The modelling framework</w:t>
      </w:r>
    </w:p>
    <w:p>
      <w:pPr>
        <w:spacing w:after="130" w:line="278"/>
        <w:jc w:val="both"/>
      </w:pPr>
      <w:r>
        <w:rPr>
          <w:sz w:val="21"/>
          <w:szCs w:val="21"/>
        </w:rPr>
        <w:t xml:space="preserve">The HIS maturity index is an outcome node on the identity link, computed as a weighted mean of the four domain scores, with governance itself modelled as a weighted mean of its sub-domains; this composite structure follows the PRISM logic and the assessment's own scoring. Because the link is the identity, coefficients are interpretable as domain weights and the index remains on the familiar 0–100 scale with its maturity bands.</w:t>
      </w:r>
    </w:p>
    <w:p>
      <w:pPr>
        <w:spacing w:after="130" w:line="278"/>
        <w:jc w:val="both"/>
      </w:pPr>
      <w:r>
        <w:rPr>
          <w:sz w:val="21"/>
          <w:szCs w:val="21"/>
        </w:rPr>
        <w:t xml:space="preserve">Country baselines are loaded from the mined assessment data, so a scenario starts from each country's actual maturity profile. A governance-strengthening scenario raises the governance domain and hence the index; a digitalisation scenario raises the data-generation domain; and a full-investment scenario raises all domains, with the reference implementation showing Kenya's index moving from its assessed value under each package.</w:t>
      </w:r>
    </w:p>
    <w:p>
      <w:pPr>
        <w:spacing w:after="130" w:line="278"/>
        <w:jc w:val="both"/>
      </w:pPr>
      <w:r>
        <w:rPr>
          <w:sz w:val="21"/>
          <w:szCs w:val="21"/>
        </w:rPr>
        <w:t xml:space="preserve">The HIS maturity node is exported as a system-layer determinant into every other network, where it drives data reliability, supply-chain performance and coverage; this is what makes a digital-transformation scenario in, say, the HIV or malaria module operate through improved information systems. Monte-Carlo propagation gives the (narrow) credible interval appropriate to a composite index.</w:t>
      </w:r>
    </w:p>
    <w:p>
      <w:pPr>
        <w:spacing w:after="130" w:line="278"/>
        <w:jc w:val="both"/>
      </w:pPr>
      <w:r>
        <w:rPr>
          <w:sz w:val="21"/>
          <w:szCs w:val="21"/>
        </w:rPr>
        <w:t xml:space="preserve">The assumptions are the weighted-composite structure, the treatment of the four domains as the relevant dimensions of maturity, and the use of the two tabulated domains where the full four-domain dataset is not yet ingested. As the complete assessment dataset is loaded, the remaining domains populate directly. Outputs are grounded in the assessment but remain decision-support rather than official scores.</w:t>
      </w:r>
    </w:p>
    <w:p>
      <w:r>
        <w:br w:type="page"/>
      </w:r>
    </w:p>
    <w:p>
      <w:pPr>
        <w:pStyle w:val="Heading1"/>
      </w:pPr>
      <w:r>
        <w:rPr>
          <w:b/>
          <w:bCs/>
          <w:color w:val="0B132B"/>
        </w:rPr>
        <w:t xml:space="preserve">5.12 SDG 3 attainment</w:t>
      </w:r>
    </w:p>
    <w:p>
      <w:pPr>
        <w:spacing w:after="90" w:line="270"/>
      </w:pPr>
      <w:r>
        <w:rPr>
          <w:b/>
          <w:bCs/>
          <w:color w:val="1C7C74"/>
        </w:rPr>
        <w:t xml:space="preserve">Outcome. </w:t>
      </w:r>
      <w:r>
        <w:rPr>
          <w:sz w:val="21"/>
          <w:szCs w:val="21"/>
        </w:rPr>
        <w:t xml:space="preserve">Probability of achieving the SDG 3 health targets, as a top-level integrating node.</w:t>
      </w:r>
    </w:p>
    <w:p>
      <w:pPr>
        <w:pStyle w:val="Heading3"/>
      </w:pPr>
      <w:r>
        <w:rPr>
          <w:b/>
          <w:bCs/>
          <w:color w:val="1C7C74"/>
        </w:rPr>
        <w:t xml:space="preserve">Introduction</w:t>
      </w:r>
    </w:p>
    <w:p>
      <w:pPr>
        <w:spacing w:after="130" w:line="278"/>
        <w:jc w:val="both"/>
      </w:pPr>
      <w:r>
        <w:rPr>
          <w:sz w:val="21"/>
          <w:szCs w:val="21"/>
        </w:rPr>
        <w:t xml:space="preserve">SDG 3 — ensuring healthy lives and well-being for all at all ages — is monitored through a family of targets spanning maternal, newborn and child mortality, the major communicable diseases, non-communicable diseases and universal health coverage. Whether a country is on track depends on the joint trajectory of all of these, and on the enabling conditions of financing, information systems and governance. The scenario question is the integrating one: given progress across the constituent domains, what is the probability that a country will meet its SDG 3 targets, and what package would change that?</w:t>
      </w:r>
    </w:p>
    <w:p>
      <w:pPr>
        <w:spacing w:after="130" w:line="278"/>
        <w:jc w:val="both"/>
      </w:pPr>
      <w:r>
        <w:rPr>
          <w:sz w:val="21"/>
          <w:szCs w:val="21"/>
        </w:rPr>
        <w:t xml:space="preserve">This module sits at the top of the platform, integrating the outputs of the disease- and system-specific networks into a single attainment estimate. It is designed to answer the portfolio question that individual modules cannot — which combination of investments most raises the probability of SDG 3 attainment — and to identify countries likely to miss the targets on current trajectories.</w:t>
      </w:r>
    </w:p>
    <w:p>
      <w:pPr>
        <w:pStyle w:val="Heading3"/>
      </w:pPr>
      <w:r>
        <w:rPr>
          <w:b/>
          <w:bCs/>
          <w:color w:val="1C7C74"/>
        </w:rPr>
        <w:t xml:space="preserve">Predictors and evidence from the literature</w:t>
      </w:r>
    </w:p>
    <w:p>
      <w:pPr>
        <w:spacing w:after="130" w:line="278"/>
        <w:jc w:val="both"/>
      </w:pPr>
      <w:r>
        <w:rPr>
          <w:sz w:val="21"/>
          <w:szCs w:val="21"/>
        </w:rPr>
        <w:t xml:space="preserve">The parents of the SDG 3 node are the constituent outcomes produced by the other networks: maternal, neonatal and under-five mortality; HIV, TB and malaria incidence; and premature NCD mortality. Each enters as a gap-to-target: the further an outcome is from its 2030 target, the lower the probability of attainment, so reductions in mortality and incidence raise the SDG 3 probability.</w:t>
      </w:r>
    </w:p>
    <w:p>
      <w:pPr>
        <w:spacing w:after="130" w:line="278"/>
        <w:jc w:val="both"/>
      </w:pPr>
      <w:r>
        <w:rPr>
          <w:sz w:val="21"/>
          <w:szCs w:val="21"/>
        </w:rPr>
        <w:t xml:space="preserve">Enabling determinants enter as positive parents. Universal health coverage and financial protection, government health expenditure, HIS maturity and governance are the system conditions that make sustained progress possible; the SDG monitoring literature and the Countdown-to-2030 analyses show that attainment depends not only on disease-specific coverage but on these cross-cutting enablers.</w:t>
      </w:r>
    </w:p>
    <w:p>
      <w:pPr>
        <w:spacing w:after="130" w:line="278"/>
        <w:jc w:val="both"/>
      </w:pPr>
      <w:r>
        <w:rPr>
          <w:sz w:val="21"/>
          <w:szCs w:val="21"/>
        </w:rPr>
        <w:t xml:space="preserve">The evidence base is the SDG indicator framework itself and the standard rate-of-change methodology used to judge whether progress is sufficient: the required average annual rate of reduction to reach a target by 2030 is compared with the achieved rate. Shocks — epidemics, conflict and climate — enter as exogenous risks that can derail otherwise on-track trajectories.</w:t>
      </w:r>
    </w:p>
    <w:p>
      <w:pPr>
        <w:pStyle w:val="Heading3"/>
      </w:pPr>
      <w:r>
        <w:rPr>
          <w:b/>
          <w:bCs/>
          <w:color w:val="1C7C74"/>
        </w:rPr>
        <w:t xml:space="preserve">The modelling framework</w:t>
      </w:r>
    </w:p>
    <w:p>
      <w:pPr>
        <w:spacing w:after="130" w:line="278"/>
        <w:jc w:val="both"/>
      </w:pPr>
      <w:r>
        <w:rPr>
          <w:sz w:val="21"/>
          <w:szCs w:val="21"/>
        </w:rPr>
        <w:t xml:space="preserve">The SDG 3 attainment probability is an outcome node on the logit link, bounded in the unit interval and anchored to a baseline attainment probability. The mortality and incidence parents carry negative signs (higher burden lowers attainment) and are scaled by their own baselines so that a proportional improvement in any outcome contributes comparably; the enabler parents (UHC, financing, HIS maturity, governance) carry positive signs, and conflict carries a negative sign.</w:t>
      </w:r>
    </w:p>
    <w:p>
      <w:pPr>
        <w:spacing w:after="130" w:line="278"/>
        <w:jc w:val="both"/>
      </w:pPr>
      <w:r>
        <w:rPr>
          <w:sz w:val="21"/>
          <w:szCs w:val="21"/>
        </w:rPr>
        <w:t xml:space="preserve">Because the node integrates the other networks, a coherent scenario passes the posterior outcomes of the constituent modules into this node: improving the maternal, child, HIV, TB or malaria networks, or the UHC and financing enablers, raises the SDG 3 probability automatically. The reference implementation shows a mortality-reduction package and a UHC-investment package each raising attainment substantially, and an integrated reform lifting the probability from roughly one third to nearly two thirds.</w:t>
      </w:r>
    </w:p>
    <w:p>
      <w:pPr>
        <w:spacing w:after="130" w:line="278"/>
        <w:jc w:val="both"/>
      </w:pPr>
      <w:r>
        <w:rPr>
          <w:sz w:val="21"/>
          <w:szCs w:val="21"/>
        </w:rPr>
        <w:t xml:space="preserve">The target-gap logic is explicit: for each constituent target the required average annual rate of change to 2030 is compared with the achieved rate, and current values are projected forward to classify countries as on- or off-track. Applying scenario improvements recomputes attainment, answering which countries would move on-track and what it would take.</w:t>
      </w:r>
    </w:p>
    <w:p>
      <w:pPr>
        <w:spacing w:after="130" w:line="278"/>
        <w:jc w:val="both"/>
      </w:pPr>
      <w:r>
        <w:rPr>
          <w:sz w:val="21"/>
          <w:szCs w:val="21"/>
        </w:rPr>
        <w:t xml:space="preserve">The assumptions are that attainment can be represented as a monotone function of the constituent gaps and enablers, that the constituent networks supply calibrated inputs, and that rate-of-change projection is an adequate basis for 2030 classification. The integration is only as good as the modules it aggregates. Outputs are illustrative and should be validated against WHO SDG 3 monitoring and Countdown-to-2030 assessments.</w:t>
      </w:r>
    </w:p>
    <w:p>
      <w:r>
        <w:br w:type="page"/>
      </w:r>
    </w:p>
    <w:p>
      <w:pPr>
        <w:pStyle w:val="Heading1"/>
      </w:pPr>
      <w:r>
        <w:rPr>
          <w:b/>
          <w:bCs/>
          <w:color w:val="0B132B"/>
        </w:rPr>
        <w:t xml:space="preserve">Cross-cutting assumptions, validation and disclaimer</w:t>
      </w:r>
    </w:p>
    <w:p>
      <w:pPr>
        <w:spacing w:after="130" w:line="278"/>
        <w:jc w:val="both"/>
      </w:pPr>
      <w:r>
        <w:rPr>
          <w:sz w:val="21"/>
          <w:szCs w:val="21"/>
        </w:rPr>
        <w:t xml:space="preserve">Across all domains the models are Bayesian networks whose structure and predictor polarities are elicited and open to revision; coefficients are elicited from the cited literature and updated to posteriors by Hamiltonian Monte Carlo where country-year panels are mined. Validation comprises baseline invariance (a do-nothing scenario reproduces the observed outcome), directionality (every intervention moves its outcome in the evidence-implied direction), leave-one-country-out calibration of the credible intervals, and external coherence against agency estimates (UNAIDS/Spectrum, UN MMEIG, UN IGME, WHO Global TB and Global Malaria Programmes, and the WHO/World Bank UHC monitoring). The models are ecological and, by default, single-period; dynamic feedbacks are represented through the forecasting layer and shock nodes rather than full mechanistic dynamics.</w:t>
      </w:r>
    </w:p>
    <w:tbl>
      <w:tblPr>
        <w:tblW w:type="dxa" w:w="9360"/>
        <w:tblBorders>
          <w:top w:val="none"/>
          <w:left w:val="none"/>
          <w:bottom w:val="none"/>
          <w:right w:val="none"/>
          <w:insideH w:val="none"/>
          <w:insideV w:val="none"/>
        </w:tblBorders>
      </w:tblPr>
      <w:tblGrid>
        <w:gridCol w:w="70"/>
        <w:gridCol w:w="9290"/>
      </w:tblGrid>
      <w:tr>
        <w:tc>
          <w:tcPr>
            <w:tcW w:type="dxa" w:w="70"/>
            <w:shd w:fill="C0392B" w:val="clear"/>
          </w:tcPr>
          <w:p/>
        </w:tc>
        <w:tc>
          <w:tcPr>
            <w:tcW w:type="dxa" w:w="9290"/>
            <w:shd w:fill="EEF2F6" w:val="clear"/>
            <w:tcMar>
              <w:top w:type="dxa" w:w="90"/>
              <w:left w:type="dxa" w:w="150"/>
              <w:bottom w:type="dxa" w:w="90"/>
              <w:right w:type="dxa" w:w="130"/>
            </w:tcMar>
          </w:tcPr>
          <w:p>
            <w:pPr>
              <w:spacing w:after="50"/>
            </w:pPr>
            <w:r>
              <w:rPr>
                <w:b/>
                <w:bCs/>
                <w:color w:val="1C2541"/>
              </w:rPr>
              <w:t xml:space="preserve">Illustrative decision-support</w:t>
            </w:r>
          </w:p>
          <w:p>
            <w:pPr>
              <w:spacing w:after="0" w:line="266"/>
              <w:jc w:val="both"/>
            </w:pPr>
            <w:r>
              <w:rPr>
                <w:sz w:val="19"/>
                <w:szCs w:val="19"/>
              </w:rPr>
              <w:t xml:space="preserve">Every output is a posterior-predictive scenario illustration, with simulated indicators clearly labelled where an open API is unavailable. These outputs do not replace official agency estimates or detailed dynamic models and must not be cited as authoritative. All structure, priors, code and assumptions are open to scientific review and must be validated against national data before operational use.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34155"/>
        <w:sz w:val="15"/>
        <w:szCs w:val="15"/>
      </w:rPr>
      <w:t xml:space="preserve">WHO AFRO · Illustrative decision-support — not official estimates   |   Page </w:t>
    </w:r>
    <w:r>
      <w:rPr>
        <w:color w:val="3341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pBdr>
      <w:jc w:val="right"/>
    </w:pPr>
    <w:r>
      <w:rPr>
        <w:color w:val="334155"/>
        <w:sz w:val="15"/>
        <w:szCs w:val="15"/>
      </w:rPr>
      <w:t xml:space="preserve">IHSA · Expanded Methodology — Scenarios, Predictors, Evidence &amp; Models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00"/>
    </w:pPr>
    <w:rPr>
      <w:b/>
      <w:bCs/>
      <w:color w:val="0B132B"/>
      <w:sz w:val="30"/>
      <w:szCs w:val="30"/>
    </w:rPr>
  </w:style>
  <w:style w:type="paragraph" w:styleId="Heading2">
    <w:name w:val="Heading 2"/>
    <w:basedOn w:val="Normal"/>
    <w:next w:val="Normal"/>
    <w:qFormat/>
    <w:pPr>
      <w:spacing w:after="100" w:before="220"/>
    </w:pPr>
    <w:rPr>
      <w:b/>
      <w:bCs/>
      <w:color w:val="1C2541"/>
      <w:sz w:val="25"/>
      <w:szCs w:val="25"/>
    </w:rPr>
  </w:style>
  <w:style w:type="paragraph" w:styleId="Heading3">
    <w:name w:val="Heading 3"/>
    <w:basedOn w:val="Normal"/>
    <w:next w:val="Normal"/>
    <w:qFormat/>
    <w:pPr>
      <w:spacing w:after="80" w:before="170"/>
    </w:pPr>
    <w:rPr>
      <w:b/>
      <w:bCs/>
      <w:color w:val="1C7C7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IHSA Expanded Bayesian Methodology</dc:title>
  <dc:creator>WHO AFRO IHSA</dc:creator>
  <cp:lastModifiedBy>Un-named</cp:lastModifiedBy>
  <cp:revision>1</cp:revision>
  <dcterms:created xsi:type="dcterms:W3CDTF">2026-07-04T21:34:42.649Z</dcterms:created>
  <dcterms:modified xsi:type="dcterms:W3CDTF">2026-07-04T21:34:42.650Z</dcterms:modified>
</cp:coreProperties>
</file>

<file path=docProps/custom.xml><?xml version="1.0" encoding="utf-8"?>
<Properties xmlns="http://schemas.openxmlformats.org/officeDocument/2006/custom-properties" xmlns:vt="http://schemas.openxmlformats.org/officeDocument/2006/docPropsVTypes"/>
</file>