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526" w:rsidRDefault="000C2526" w:rsidP="00A62CCA">
      <w:pPr>
        <w:spacing w:after="0" w:line="240" w:lineRule="auto"/>
        <w:ind w:hanging="360"/>
        <w:jc w:val="center"/>
        <w:rPr>
          <w:rFonts w:ascii="Footlight MT Light" w:hAnsi="Footlight MT Light" w:cs="Utsaah"/>
          <w:b/>
          <w:color w:val="0070C0"/>
          <w:sz w:val="28"/>
          <w:szCs w:val="28"/>
        </w:rPr>
      </w:pPr>
    </w:p>
    <w:p w:rsidR="000C2526" w:rsidRDefault="000C2526" w:rsidP="00A62CCA">
      <w:pPr>
        <w:spacing w:after="0" w:line="240" w:lineRule="auto"/>
        <w:ind w:hanging="360"/>
        <w:jc w:val="center"/>
        <w:rPr>
          <w:rFonts w:ascii="Footlight MT Light" w:hAnsi="Footlight MT Light" w:cs="Utsaah"/>
          <w:b/>
          <w:color w:val="0070C0"/>
          <w:sz w:val="28"/>
          <w:szCs w:val="28"/>
        </w:rPr>
      </w:pPr>
    </w:p>
    <w:p w:rsidR="00A62CCA" w:rsidRDefault="00A62CCA" w:rsidP="00AB10DF">
      <w:pPr>
        <w:spacing w:after="0" w:line="240" w:lineRule="auto"/>
        <w:ind w:hanging="360"/>
        <w:jc w:val="both"/>
        <w:rPr>
          <w:rFonts w:ascii="Footlight MT Light" w:hAnsi="Footlight MT Light" w:cs="Utsaah"/>
          <w:b/>
          <w:color w:val="0070C0"/>
          <w:sz w:val="28"/>
          <w:szCs w:val="28"/>
        </w:rPr>
      </w:pPr>
    </w:p>
    <w:p w:rsidR="00A62CCA" w:rsidRDefault="00A62CCA" w:rsidP="00AB10DF">
      <w:pPr>
        <w:spacing w:after="0" w:line="240" w:lineRule="auto"/>
        <w:ind w:hanging="360"/>
        <w:jc w:val="both"/>
        <w:rPr>
          <w:rFonts w:ascii="Footlight MT Light" w:hAnsi="Footlight MT Light" w:cs="Utsaah"/>
          <w:b/>
          <w:color w:val="0070C0"/>
          <w:sz w:val="28"/>
          <w:szCs w:val="28"/>
        </w:rPr>
      </w:pPr>
    </w:p>
    <w:p w:rsidR="00A62CCA" w:rsidRDefault="00A62CCA" w:rsidP="00AB10DF">
      <w:pPr>
        <w:spacing w:after="0" w:line="240" w:lineRule="auto"/>
        <w:ind w:hanging="360"/>
        <w:jc w:val="both"/>
        <w:rPr>
          <w:rFonts w:ascii="Footlight MT Light" w:hAnsi="Footlight MT Light" w:cs="Utsaah"/>
          <w:b/>
          <w:color w:val="0070C0"/>
          <w:sz w:val="28"/>
          <w:szCs w:val="28"/>
        </w:rPr>
      </w:pPr>
    </w:p>
    <w:p w:rsidR="00A62CCA" w:rsidRDefault="00A62CCA" w:rsidP="00AB10DF">
      <w:pPr>
        <w:spacing w:after="0" w:line="240" w:lineRule="auto"/>
        <w:ind w:hanging="360"/>
        <w:jc w:val="both"/>
        <w:rPr>
          <w:rFonts w:ascii="Footlight MT Light" w:hAnsi="Footlight MT Light" w:cs="Utsaah"/>
          <w:b/>
          <w:color w:val="0070C0"/>
          <w:sz w:val="28"/>
          <w:szCs w:val="28"/>
        </w:rPr>
      </w:pPr>
    </w:p>
    <w:p w:rsidR="00A62CCA" w:rsidRDefault="00A62CCA" w:rsidP="00AB10DF">
      <w:pPr>
        <w:spacing w:after="0" w:line="240" w:lineRule="auto"/>
        <w:ind w:hanging="360"/>
        <w:jc w:val="both"/>
        <w:rPr>
          <w:rFonts w:ascii="Footlight MT Light" w:hAnsi="Footlight MT Light" w:cs="Utsaah"/>
          <w:b/>
          <w:color w:val="0070C0"/>
          <w:sz w:val="28"/>
          <w:szCs w:val="28"/>
        </w:rPr>
      </w:pPr>
    </w:p>
    <w:p w:rsidR="0097275F" w:rsidRDefault="0097275F" w:rsidP="0097275F">
      <w:pPr>
        <w:spacing w:after="0" w:line="240" w:lineRule="auto"/>
        <w:rPr>
          <w:rFonts w:ascii="Comic Sans MS" w:hAnsi="Comic Sans MS" w:cs="Utsaah"/>
          <w:b/>
          <w:color w:val="0070C0"/>
          <w:sz w:val="32"/>
          <w:szCs w:val="28"/>
        </w:rPr>
      </w:pPr>
    </w:p>
    <w:p w:rsidR="0097275F" w:rsidRPr="00DC10C0" w:rsidRDefault="0097275F" w:rsidP="0097275F">
      <w:pPr>
        <w:spacing w:after="0" w:line="240" w:lineRule="auto"/>
        <w:rPr>
          <w:rFonts w:ascii="Comic Sans MS" w:hAnsi="Comic Sans MS" w:cs="Utsaah"/>
          <w:b/>
          <w:color w:val="0070C0"/>
          <w:sz w:val="32"/>
          <w:szCs w:val="28"/>
        </w:rPr>
      </w:pPr>
      <w:r>
        <w:rPr>
          <w:rFonts w:ascii="Comic Sans MS" w:hAnsi="Comic Sans MS" w:cs="Utsaah"/>
          <w:b/>
          <w:color w:val="0070C0"/>
          <w:sz w:val="32"/>
          <w:szCs w:val="28"/>
        </w:rPr>
        <w:t>About Us</w:t>
      </w:r>
    </w:p>
    <w:p w:rsidR="0097275F" w:rsidRDefault="0097275F" w:rsidP="0097275F">
      <w:pPr>
        <w:spacing w:after="0" w:line="240" w:lineRule="auto"/>
        <w:jc w:val="both"/>
        <w:rPr>
          <w:rFonts w:ascii="Copperplate Gothic Bold" w:hAnsi="Copperplate Gothic Bold" w:cs="Utsaah"/>
          <w:b/>
          <w:color w:val="806000" w:themeColor="accent4" w:themeShade="80"/>
          <w:sz w:val="28"/>
          <w:szCs w:val="28"/>
        </w:rPr>
      </w:pPr>
    </w:p>
    <w:p w:rsidR="0097275F" w:rsidRDefault="0097275F" w:rsidP="0097275F">
      <w:pPr>
        <w:spacing w:after="0" w:line="0" w:lineRule="atLeast"/>
        <w:ind w:right="180"/>
        <w:jc w:val="both"/>
        <w:rPr>
          <w:rFonts w:ascii="Bookman Old Style" w:eastAsia="Times New Roman" w:hAnsi="Bookman Old Style" w:cs="Calibri"/>
          <w:sz w:val="24"/>
          <w:szCs w:val="24"/>
        </w:rPr>
      </w:pPr>
      <w:r w:rsidRPr="005301F3">
        <w:rPr>
          <w:rFonts w:ascii="Bookman Old Style" w:eastAsia="Times New Roman" w:hAnsi="Bookman Old Style" w:cs="Calibri"/>
          <w:b/>
          <w:sz w:val="24"/>
          <w:szCs w:val="24"/>
        </w:rPr>
        <w:t>CLINTERPOL SECURITY AND FORENSICS CONSULTING</w:t>
      </w:r>
      <w:r w:rsidRPr="005301F3">
        <w:rPr>
          <w:rFonts w:ascii="Bookman Old Style" w:eastAsia="Times New Roman" w:hAnsi="Bookman Old Style" w:cs="Calibri"/>
          <w:sz w:val="24"/>
          <w:szCs w:val="24"/>
        </w:rPr>
        <w:t xml:space="preserve"> </w:t>
      </w:r>
      <w:r w:rsidRPr="005301F3">
        <w:rPr>
          <w:rFonts w:ascii="Bookman Old Style" w:eastAsia="Times New Roman" w:hAnsi="Bookman Old Style" w:cs="Calibri"/>
          <w:b/>
          <w:sz w:val="24"/>
          <w:szCs w:val="24"/>
        </w:rPr>
        <w:t>LIMITED</w:t>
      </w:r>
      <w:r w:rsidRPr="005301F3">
        <w:rPr>
          <w:rFonts w:ascii="Bookman Old Style" w:eastAsia="Times New Roman" w:hAnsi="Bookman Old Style" w:cs="Calibri"/>
          <w:sz w:val="24"/>
          <w:szCs w:val="24"/>
        </w:rPr>
        <w:t xml:space="preserve"> is a Security, Forensics, Investigations, Background Checks, </w:t>
      </w:r>
      <w:r>
        <w:rPr>
          <w:rFonts w:ascii="Bookman Old Style" w:eastAsia="Times New Roman" w:hAnsi="Bookman Old Style" w:cs="Calibri"/>
          <w:sz w:val="24"/>
          <w:szCs w:val="24"/>
        </w:rPr>
        <w:t>Due Diligence,</w:t>
      </w:r>
      <w:r w:rsidRPr="005301F3">
        <w:rPr>
          <w:rFonts w:ascii="Bookman Old Style" w:eastAsia="Times New Roman" w:hAnsi="Bookman Old Style" w:cs="Calibri"/>
          <w:sz w:val="24"/>
          <w:szCs w:val="24"/>
        </w:rPr>
        <w:t xml:space="preserve"> Audit</w:t>
      </w:r>
      <w:r>
        <w:rPr>
          <w:rFonts w:ascii="Bookman Old Style" w:eastAsia="Times New Roman" w:hAnsi="Bookman Old Style" w:cs="Calibri"/>
          <w:sz w:val="24"/>
          <w:szCs w:val="24"/>
        </w:rPr>
        <w:t>,</w:t>
      </w:r>
      <w:r w:rsidRPr="005301F3">
        <w:rPr>
          <w:rFonts w:ascii="Bookman Old Style" w:eastAsia="Times New Roman" w:hAnsi="Bookman Old Style" w:cs="Calibri"/>
          <w:sz w:val="24"/>
          <w:szCs w:val="24"/>
        </w:rPr>
        <w:t xml:space="preserve"> Risk, Safety, Conflict and Training Consulting Firm with unique  and cutting edge services segmented into Six Specialized Service Divisions. These Divisions Are;</w:t>
      </w:r>
    </w:p>
    <w:p w:rsidR="0097275F" w:rsidRDefault="0097275F" w:rsidP="0097275F">
      <w:pPr>
        <w:spacing w:after="0" w:line="0" w:lineRule="atLeast"/>
        <w:ind w:right="180"/>
        <w:jc w:val="both"/>
        <w:rPr>
          <w:rFonts w:ascii="Bookman Old Style" w:eastAsia="Times New Roman" w:hAnsi="Bookman Old Style" w:cs="Calibri"/>
          <w:sz w:val="24"/>
          <w:szCs w:val="24"/>
        </w:rPr>
      </w:pPr>
    </w:p>
    <w:p w:rsidR="0097275F" w:rsidRDefault="0097275F" w:rsidP="0097275F">
      <w:pPr>
        <w:numPr>
          <w:ilvl w:val="0"/>
          <w:numId w:val="4"/>
        </w:numPr>
        <w:spacing w:after="0" w:line="232" w:lineRule="auto"/>
        <w:ind w:right="180"/>
        <w:contextualSpacing/>
        <w:jc w:val="both"/>
        <w:rPr>
          <w:rFonts w:ascii="Comic Sans MS" w:eastAsia="Times New Roman" w:hAnsi="Comic Sans MS" w:cs="Calibri"/>
          <w:sz w:val="24"/>
          <w:szCs w:val="24"/>
        </w:rPr>
      </w:pPr>
      <w:r>
        <w:rPr>
          <w:rFonts w:ascii="Comic Sans MS" w:eastAsia="Times New Roman" w:hAnsi="Comic Sans MS" w:cs="Calibri"/>
          <w:sz w:val="24"/>
          <w:szCs w:val="24"/>
        </w:rPr>
        <w:t>Background Checks and Due Diligence Division</w:t>
      </w:r>
    </w:p>
    <w:p w:rsidR="0097275F" w:rsidRDefault="0097275F" w:rsidP="0097275F">
      <w:pPr>
        <w:numPr>
          <w:ilvl w:val="0"/>
          <w:numId w:val="4"/>
        </w:numPr>
        <w:spacing w:after="0" w:line="232" w:lineRule="auto"/>
        <w:ind w:right="180"/>
        <w:contextualSpacing/>
        <w:jc w:val="both"/>
        <w:rPr>
          <w:rFonts w:ascii="Comic Sans MS" w:eastAsia="Times New Roman" w:hAnsi="Comic Sans MS" w:cs="Calibri"/>
          <w:sz w:val="24"/>
          <w:szCs w:val="24"/>
        </w:rPr>
      </w:pPr>
      <w:r>
        <w:rPr>
          <w:rFonts w:ascii="Comic Sans MS" w:eastAsia="Times New Roman" w:hAnsi="Comic Sans MS" w:cs="Calibri"/>
          <w:sz w:val="24"/>
          <w:szCs w:val="24"/>
        </w:rPr>
        <w:t>Investigations, Forensics and Litigation Support Division</w:t>
      </w:r>
    </w:p>
    <w:p w:rsidR="0097275F" w:rsidRDefault="0097275F" w:rsidP="0097275F">
      <w:pPr>
        <w:numPr>
          <w:ilvl w:val="0"/>
          <w:numId w:val="4"/>
        </w:numPr>
        <w:spacing w:after="0" w:line="232" w:lineRule="auto"/>
        <w:ind w:right="180"/>
        <w:contextualSpacing/>
        <w:jc w:val="both"/>
        <w:rPr>
          <w:rFonts w:ascii="Comic Sans MS" w:eastAsia="Times New Roman" w:hAnsi="Comic Sans MS" w:cs="Calibri"/>
          <w:sz w:val="24"/>
          <w:szCs w:val="24"/>
        </w:rPr>
      </w:pPr>
      <w:r>
        <w:rPr>
          <w:rFonts w:ascii="Comic Sans MS" w:eastAsia="Times New Roman" w:hAnsi="Comic Sans MS" w:cs="Calibri"/>
          <w:sz w:val="24"/>
          <w:szCs w:val="24"/>
        </w:rPr>
        <w:t>Corporate / Project Support and Development Division</w:t>
      </w:r>
    </w:p>
    <w:p w:rsidR="0097275F" w:rsidRDefault="0097275F" w:rsidP="0097275F">
      <w:pPr>
        <w:numPr>
          <w:ilvl w:val="0"/>
          <w:numId w:val="4"/>
        </w:numPr>
        <w:spacing w:after="0" w:line="232" w:lineRule="auto"/>
        <w:ind w:right="180"/>
        <w:contextualSpacing/>
        <w:jc w:val="both"/>
        <w:rPr>
          <w:rFonts w:ascii="Comic Sans MS" w:eastAsia="Times New Roman" w:hAnsi="Comic Sans MS" w:cs="Calibri"/>
          <w:sz w:val="24"/>
          <w:szCs w:val="24"/>
        </w:rPr>
      </w:pPr>
      <w:r>
        <w:rPr>
          <w:rFonts w:ascii="Comic Sans MS" w:eastAsia="Times New Roman" w:hAnsi="Comic Sans MS" w:cs="Calibri"/>
          <w:sz w:val="24"/>
          <w:szCs w:val="24"/>
        </w:rPr>
        <w:t>Safety, Risk and Audit Division</w:t>
      </w:r>
    </w:p>
    <w:p w:rsidR="0097275F" w:rsidRDefault="0097275F" w:rsidP="0097275F">
      <w:pPr>
        <w:numPr>
          <w:ilvl w:val="0"/>
          <w:numId w:val="4"/>
        </w:numPr>
        <w:spacing w:after="0" w:line="232" w:lineRule="auto"/>
        <w:ind w:right="180"/>
        <w:contextualSpacing/>
        <w:jc w:val="both"/>
        <w:rPr>
          <w:rFonts w:ascii="Comic Sans MS" w:eastAsia="Times New Roman" w:hAnsi="Comic Sans MS" w:cs="Calibri"/>
          <w:sz w:val="24"/>
          <w:szCs w:val="24"/>
        </w:rPr>
      </w:pPr>
      <w:r>
        <w:rPr>
          <w:rFonts w:ascii="Comic Sans MS" w:eastAsia="Times New Roman" w:hAnsi="Comic Sans MS" w:cs="Calibri"/>
          <w:sz w:val="24"/>
          <w:szCs w:val="24"/>
        </w:rPr>
        <w:t>International Security and Peace (Global Conflict Resolution) Division</w:t>
      </w:r>
    </w:p>
    <w:p w:rsidR="0097275F" w:rsidRDefault="0097275F" w:rsidP="0097275F">
      <w:pPr>
        <w:numPr>
          <w:ilvl w:val="0"/>
          <w:numId w:val="4"/>
        </w:numPr>
        <w:spacing w:after="0" w:line="232" w:lineRule="auto"/>
        <w:ind w:right="180"/>
        <w:contextualSpacing/>
        <w:jc w:val="both"/>
        <w:rPr>
          <w:rFonts w:ascii="Comic Sans MS" w:eastAsia="Times New Roman" w:hAnsi="Comic Sans MS" w:cs="Calibri"/>
          <w:sz w:val="24"/>
          <w:szCs w:val="24"/>
        </w:rPr>
      </w:pPr>
      <w:r>
        <w:rPr>
          <w:rFonts w:ascii="Comic Sans MS" w:eastAsia="Times New Roman" w:hAnsi="Comic Sans MS" w:cs="Calibri"/>
          <w:sz w:val="24"/>
          <w:szCs w:val="24"/>
        </w:rPr>
        <w:t xml:space="preserve">Training and Capacity Development Division </w:t>
      </w:r>
    </w:p>
    <w:p w:rsidR="0097275F" w:rsidRPr="005301F3" w:rsidRDefault="0097275F" w:rsidP="0097275F">
      <w:pPr>
        <w:spacing w:after="0" w:line="0" w:lineRule="atLeast"/>
        <w:ind w:right="180"/>
        <w:jc w:val="both"/>
        <w:rPr>
          <w:rFonts w:ascii="Bookman Old Style" w:eastAsia="Calibri" w:hAnsi="Bookman Old Style" w:cs="Arial"/>
          <w:b/>
          <w:color w:val="BF8F00"/>
          <w:sz w:val="24"/>
          <w:szCs w:val="20"/>
        </w:rPr>
      </w:pPr>
    </w:p>
    <w:p w:rsidR="0097275F" w:rsidRPr="005301F3" w:rsidRDefault="0097275F" w:rsidP="0097275F">
      <w:pPr>
        <w:spacing w:after="0" w:line="232" w:lineRule="auto"/>
        <w:ind w:right="180"/>
        <w:jc w:val="both"/>
        <w:rPr>
          <w:rFonts w:ascii="Book Antiqua" w:eastAsia="Times New Roman" w:hAnsi="Book Antiqua" w:cs="Calibri"/>
          <w:b/>
          <w:color w:val="BF8F00" w:themeColor="accent4" w:themeShade="BF"/>
          <w:sz w:val="28"/>
          <w:szCs w:val="24"/>
        </w:rPr>
      </w:pPr>
      <w:r w:rsidRPr="005301F3">
        <w:rPr>
          <w:rFonts w:ascii="Book Antiqua" w:eastAsia="Times New Roman" w:hAnsi="Book Antiqua" w:cs="Calibri"/>
          <w:b/>
          <w:color w:val="BF8F00" w:themeColor="accent4" w:themeShade="BF"/>
          <w:sz w:val="28"/>
          <w:szCs w:val="24"/>
        </w:rPr>
        <w:t>Prevention is Better than Cure, Information and Knowledge is Power</w:t>
      </w:r>
    </w:p>
    <w:p w:rsidR="0097275F" w:rsidRPr="005301F3" w:rsidRDefault="0097275F" w:rsidP="0097275F">
      <w:pPr>
        <w:spacing w:after="0" w:line="232" w:lineRule="auto"/>
        <w:ind w:right="180"/>
        <w:jc w:val="both"/>
        <w:rPr>
          <w:rFonts w:ascii="Book Antiqua" w:eastAsia="Times New Roman" w:hAnsi="Book Antiqua" w:cs="Calibri"/>
          <w:sz w:val="24"/>
          <w:szCs w:val="24"/>
        </w:rPr>
      </w:pPr>
      <w:r w:rsidRPr="0097275F">
        <w:rPr>
          <w:rFonts w:ascii="Book Antiqua" w:eastAsia="Times New Roman" w:hAnsi="Book Antiqua" w:cs="Calibri"/>
          <w:b/>
          <w:color w:val="0070C0"/>
          <w:sz w:val="24"/>
          <w:szCs w:val="24"/>
        </w:rPr>
        <w:t>CLINTERPOL</w:t>
      </w:r>
      <w:r w:rsidRPr="005301F3">
        <w:rPr>
          <w:rFonts w:ascii="Book Antiqua" w:eastAsia="Times New Roman" w:hAnsi="Book Antiqua" w:cs="Calibri"/>
          <w:sz w:val="24"/>
          <w:szCs w:val="24"/>
        </w:rPr>
        <w:t xml:space="preserve"> was incorporated in 2011, our approach to the problem of crime and insecurity are anchored on two pillars: Prevention is better than cure and Information and knowledge is power. We believe that sustainable management of insecurity, crime and conflict should be intelligence led. Failure by institutions and individuals to take preventive and proactive steps to avoid being victims of crime and insecurity, ensures that a lot of resources and time are used to react majorly through lengthy investigations and litigations, some taking as long as over a decade. This is not good for business as it slows progress and development.</w:t>
      </w:r>
    </w:p>
    <w:p w:rsidR="0097275F" w:rsidRPr="005301F3" w:rsidRDefault="0097275F" w:rsidP="0097275F">
      <w:pPr>
        <w:spacing w:after="0" w:line="232" w:lineRule="auto"/>
        <w:ind w:right="180"/>
        <w:jc w:val="both"/>
        <w:rPr>
          <w:rFonts w:ascii="Book Antiqua" w:eastAsia="Times New Roman" w:hAnsi="Book Antiqua" w:cs="Calibri"/>
          <w:sz w:val="24"/>
          <w:szCs w:val="24"/>
        </w:rPr>
      </w:pPr>
    </w:p>
    <w:p w:rsidR="0097275F" w:rsidRPr="005301F3" w:rsidRDefault="0097275F" w:rsidP="0097275F">
      <w:pPr>
        <w:spacing w:after="0" w:line="232" w:lineRule="auto"/>
        <w:ind w:right="180"/>
        <w:jc w:val="both"/>
        <w:rPr>
          <w:rFonts w:ascii="Book Antiqua" w:eastAsia="Times New Roman" w:hAnsi="Book Antiqua" w:cs="Calibri"/>
          <w:b/>
          <w:color w:val="BF8F00" w:themeColor="accent4" w:themeShade="BF"/>
          <w:sz w:val="28"/>
          <w:szCs w:val="24"/>
        </w:rPr>
      </w:pPr>
      <w:r w:rsidRPr="005301F3">
        <w:rPr>
          <w:rFonts w:ascii="Book Antiqua" w:eastAsia="Times New Roman" w:hAnsi="Book Antiqua" w:cs="Calibri"/>
          <w:b/>
          <w:color w:val="BF8F00" w:themeColor="accent4" w:themeShade="BF"/>
          <w:sz w:val="28"/>
          <w:szCs w:val="24"/>
        </w:rPr>
        <w:t>Intelligence – Led Decision Making</w:t>
      </w:r>
    </w:p>
    <w:p w:rsidR="0097275F" w:rsidRPr="005301F3" w:rsidRDefault="0097275F" w:rsidP="0097275F">
      <w:pPr>
        <w:spacing w:after="0" w:line="232" w:lineRule="auto"/>
        <w:ind w:right="180"/>
        <w:jc w:val="both"/>
        <w:rPr>
          <w:rFonts w:ascii="Book Antiqua" w:eastAsia="Times New Roman" w:hAnsi="Book Antiqua" w:cs="Calibri"/>
          <w:sz w:val="24"/>
          <w:szCs w:val="24"/>
        </w:rPr>
      </w:pPr>
      <w:r w:rsidRPr="0097275F">
        <w:rPr>
          <w:rFonts w:ascii="Book Antiqua" w:eastAsia="Times New Roman" w:hAnsi="Book Antiqua" w:cs="Calibri"/>
          <w:b/>
          <w:color w:val="0070C0"/>
          <w:sz w:val="24"/>
          <w:szCs w:val="24"/>
        </w:rPr>
        <w:t xml:space="preserve">CLINTERPOL </w:t>
      </w:r>
      <w:r w:rsidRPr="005301F3">
        <w:rPr>
          <w:rFonts w:ascii="Book Antiqua" w:eastAsia="Times New Roman" w:hAnsi="Book Antiqua" w:cs="Calibri"/>
          <w:sz w:val="24"/>
          <w:szCs w:val="24"/>
        </w:rPr>
        <w:t>services majorly seeks to cushion institutions from falling prey to the insidious act of crime and insecurity such as fraud and theft by acting proactively with a preventive mindset, before their occurrence and not post facto. We are the gateway to sources of knowledge and information critical and instrumental for any institution that intends to rely on intelligence-led, timely, accurate and relevant information and knowledge to arrive at sustainable, development and growth conscious corporate decisions. Reactive, firefighting, responses long after the fact is tedious, litigation fraught, expensive, time consuming and reputation soiling.</w:t>
      </w:r>
    </w:p>
    <w:p w:rsidR="0097275F" w:rsidRDefault="0097275F" w:rsidP="0097275F">
      <w:pPr>
        <w:spacing w:after="0" w:line="240" w:lineRule="auto"/>
        <w:ind w:hanging="360"/>
        <w:jc w:val="both"/>
        <w:rPr>
          <w:rFonts w:ascii="Copperplate Gothic Bold" w:hAnsi="Copperplate Gothic Bold" w:cs="Utsaah"/>
          <w:b/>
          <w:color w:val="806000" w:themeColor="accent4" w:themeShade="80"/>
          <w:sz w:val="28"/>
          <w:szCs w:val="28"/>
        </w:rPr>
      </w:pPr>
    </w:p>
    <w:p w:rsidR="00AC080E" w:rsidRPr="00900443" w:rsidRDefault="00AC080E" w:rsidP="0097275F">
      <w:pPr>
        <w:spacing w:after="0" w:line="240" w:lineRule="auto"/>
        <w:rPr>
          <w:rFonts w:ascii="Footlight MT Light" w:hAnsi="Footlight MT Light" w:cs="Utsaah"/>
          <w:b/>
          <w:sz w:val="28"/>
          <w:szCs w:val="28"/>
        </w:rPr>
      </w:pPr>
    </w:p>
    <w:sectPr w:rsidR="00AC080E" w:rsidRPr="00900443" w:rsidSect="002E5E49">
      <w:pgSz w:w="12240" w:h="15840"/>
      <w:pgMar w:top="450" w:right="117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6B3D" w:rsidRDefault="00906B3D" w:rsidP="00B967EA">
      <w:pPr>
        <w:spacing w:after="0" w:line="240" w:lineRule="auto"/>
      </w:pPr>
      <w:r>
        <w:separator/>
      </w:r>
    </w:p>
  </w:endnote>
  <w:endnote w:type="continuationSeparator" w:id="0">
    <w:p w:rsidR="00906B3D" w:rsidRDefault="00906B3D" w:rsidP="00B9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6B3D" w:rsidRDefault="00906B3D" w:rsidP="00B967EA">
      <w:pPr>
        <w:spacing w:after="0" w:line="240" w:lineRule="auto"/>
      </w:pPr>
      <w:r>
        <w:separator/>
      </w:r>
    </w:p>
  </w:footnote>
  <w:footnote w:type="continuationSeparator" w:id="0">
    <w:p w:rsidR="00906B3D" w:rsidRDefault="00906B3D" w:rsidP="00B96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14262"/>
    <w:multiLevelType w:val="hybridMultilevel"/>
    <w:tmpl w:val="CA4A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E33958"/>
    <w:multiLevelType w:val="hybridMultilevel"/>
    <w:tmpl w:val="3E4E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95DC9"/>
    <w:multiLevelType w:val="hybridMultilevel"/>
    <w:tmpl w:val="451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57159"/>
    <w:multiLevelType w:val="hybridMultilevel"/>
    <w:tmpl w:val="6D8AA6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A"/>
    <w:rsid w:val="00077531"/>
    <w:rsid w:val="000C2526"/>
    <w:rsid w:val="000F0AC1"/>
    <w:rsid w:val="001A4A80"/>
    <w:rsid w:val="001E6DD1"/>
    <w:rsid w:val="00230AAC"/>
    <w:rsid w:val="002456A2"/>
    <w:rsid w:val="002E5E49"/>
    <w:rsid w:val="00360E60"/>
    <w:rsid w:val="003C728C"/>
    <w:rsid w:val="00440DE0"/>
    <w:rsid w:val="004C6B7A"/>
    <w:rsid w:val="004D01A5"/>
    <w:rsid w:val="00580A69"/>
    <w:rsid w:val="005F4549"/>
    <w:rsid w:val="0069624D"/>
    <w:rsid w:val="00782414"/>
    <w:rsid w:val="00785EB2"/>
    <w:rsid w:val="00887E3E"/>
    <w:rsid w:val="00900443"/>
    <w:rsid w:val="00906B3D"/>
    <w:rsid w:val="0097275F"/>
    <w:rsid w:val="009824A4"/>
    <w:rsid w:val="00990CAC"/>
    <w:rsid w:val="00A34A16"/>
    <w:rsid w:val="00A62CCA"/>
    <w:rsid w:val="00AB10DF"/>
    <w:rsid w:val="00AC080E"/>
    <w:rsid w:val="00B02DC9"/>
    <w:rsid w:val="00B57BAD"/>
    <w:rsid w:val="00B967EA"/>
    <w:rsid w:val="00C121D0"/>
    <w:rsid w:val="00C6049B"/>
    <w:rsid w:val="00D8645F"/>
    <w:rsid w:val="00DC10C0"/>
    <w:rsid w:val="00E2101C"/>
    <w:rsid w:val="00E53A6C"/>
    <w:rsid w:val="00FB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BBCBB-26B2-46B0-BC29-780F1104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EA"/>
  </w:style>
  <w:style w:type="paragraph" w:styleId="Footer">
    <w:name w:val="footer"/>
    <w:basedOn w:val="Normal"/>
    <w:link w:val="FooterChar"/>
    <w:uiPriority w:val="99"/>
    <w:unhideWhenUsed/>
    <w:rsid w:val="00B96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EA"/>
  </w:style>
  <w:style w:type="paragraph" w:styleId="ListParagraph">
    <w:name w:val="List Paragraph"/>
    <w:basedOn w:val="Normal"/>
    <w:uiPriority w:val="34"/>
    <w:qFormat/>
    <w:rsid w:val="00B967EA"/>
    <w:pPr>
      <w:ind w:left="720"/>
      <w:contextualSpacing/>
    </w:pPr>
  </w:style>
  <w:style w:type="paragraph" w:styleId="BalloonText">
    <w:name w:val="Balloon Text"/>
    <w:basedOn w:val="Normal"/>
    <w:link w:val="BalloonTextChar"/>
    <w:uiPriority w:val="99"/>
    <w:semiHidden/>
    <w:unhideWhenUsed/>
    <w:rsid w:val="00360E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86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BCSI CONSULTING 002</dc:creator>
  <cp:keywords/>
  <dc:description/>
  <cp:lastModifiedBy>Guest User</cp:lastModifiedBy>
  <cp:revision>2</cp:revision>
  <cp:lastPrinted>2021-08-19T07:15:00Z</cp:lastPrinted>
  <dcterms:created xsi:type="dcterms:W3CDTF">2022-01-28T10:30:00Z</dcterms:created>
  <dcterms:modified xsi:type="dcterms:W3CDTF">2022-01-28T10:30:00Z</dcterms:modified>
</cp:coreProperties>
</file>