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3581"/>
          <w:tab w:val="left" w:pos="13651"/>
        </w:tabs>
        <w:spacing w:after="0" w:before="0" w:line="170" w:lineRule="exact"/>
      </w:pPr>
      <w:r>
        <w:rPr>
          <w:sz w:val="15"/>
          <w:szCs w:val="15"/>
        </w:rPr>
        <w:t xml:space="preserve">1814 - GM - GOBIERNO AUTÓNOMO MUNICIPAL DE SAN JOAQUÍN</w:t>
      </w:r>
      <w:r>
        <w:rPr>
          <w:sz w:val="10"/>
          <w:szCs w:val="10"/>
        </w:rPr>
        <w:tab/>
      </w:r>
      <w:r>
        <w:rPr>
          <w:sz w:val="12"/>
          <w:szCs w:val="12"/>
        </w:rPr>
        <w:t xml:space="preserve">Fecha :</w:t>
      </w:r>
      <w:r>
        <w:rPr>
          <w:sz w:val="10"/>
          <w:szCs w:val="10"/>
        </w:rPr>
        <w:tab/>
      </w:r>
      <w:r>
        <w:rPr>
          <w:sz w:val="12"/>
          <w:szCs w:val="12"/>
        </w:rPr>
        <w:t xml:space="preserve">21/10/2026</w:t>
      </w:r>
    </w:p>
    <w:p>
      <w:pPr>
        <w:tabs>
          <w:tab w:val="right" w:pos="13581"/>
          <w:tab w:val="left" w:pos="13651"/>
        </w:tabs>
        <w:spacing w:after="0" w:before="0" w:line="170" w:lineRule="exact"/>
      </w:pPr>
      <w:r>
        <w:rPr>
          <w:sz w:val="10"/>
          <w:szCs w:val="10"/>
        </w:rPr>
        <w:tab/>
      </w:r>
      <w:r>
        <w:rPr>
          <w:sz w:val="12"/>
          <w:szCs w:val="12"/>
        </w:rPr>
        <w:t xml:space="preserve">Hora :</w:t>
      </w:r>
      <w:r>
        <w:rPr>
          <w:sz w:val="10"/>
          <w:szCs w:val="10"/>
        </w:rPr>
        <w:tab/>
      </w:r>
      <w:r>
        <w:rPr>
          <w:sz w:val="12"/>
          <w:szCs w:val="12"/>
        </w:rPr>
        <w:t xml:space="preserve">22:37:55</w:t>
      </w:r>
    </w:p>
    <w:tbl>
      <w:tblPr>
        <w:tblW w:type="dxa" w:w="147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64"/>
        <w:gridCol w:w="6148"/>
        <w:gridCol w:w="3842"/>
      </w:tblGrid>
      <w:tr>
        <w:trPr>
          <w:trHeight w:val="853" w:hRule="atLeast"/>
        </w:trPr>
        <w:tc>
          <w:tcPr>
            <w:tcW w:type="dxa" w:w="47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</w:pPr>
          </w:p>
        </w:tc>
        <w:tc>
          <w:tcPr>
            <w:tcW w:type="dxa" w:w="6148"/>
            <w:tcBorders>
              <w:top w:val="single" w:color="000000" w:sz="10" w:space="1"/>
              <w:left w:val="single" w:color="000000" w:sz="10" w:space="1"/>
              <w:bottom w:val="single" w:color="000000" w:sz="10" w:space="1"/>
              <w:right w:val="single" w:color="000000" w:sz="10" w:space="1"/>
            </w:tcBorders>
            <w:shd w:fill="E3E3E3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Estado de Cambios en el Patrimonio Neto</w:t>
            </w:r>
          </w:p>
          <w:p>
            <w:pPr>
              <w:spacing w:after="0" w:before="0" w:line="240" w:lineRule="exact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Del  01/01/2021     Al  31/12/2021</w:t>
            </w:r>
          </w:p>
          <w:p>
            <w:pPr>
              <w:spacing w:after="0" w:before="0" w:line="240" w:lineRule="exact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Expresado en Bolivianos</w:t>
            </w:r>
          </w:p>
        </w:tc>
        <w:tc>
          <w:tcPr>
            <w:tcW w:type="dxa" w:w="3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tabs>
                <w:tab w:val="right" w:pos="2668"/>
                <w:tab w:val="left" w:pos="2738"/>
              </w:tabs>
              <w:spacing w:after="0" w:before="0" w:line="170" w:lineRule="exact"/>
            </w:pPr>
            <w:r>
              <w:rPr>
                <w:sz w:val="10"/>
                <w:szCs w:val="10"/>
              </w:rPr>
              <w:tab/>
            </w:r>
            <w:r>
              <w:rPr>
                <w:sz w:val="12"/>
                <w:szCs w:val="12"/>
              </w:rPr>
              <w:t xml:space="preserve">Página :</w:t>
            </w:r>
            <w:r>
              <w:rPr>
                <w:sz w:val="10"/>
                <w:szCs w:val="10"/>
              </w:rPr>
              <w:tab/>
            </w:r>
            <w:r>
              <w:rPr>
                <w:sz w:val="12"/>
                <w:szCs w:val="12"/>
              </w:rPr>
              <w:t xml:space="preserve">1 de 1</w:t>
            </w:r>
          </w:p>
        </w:tc>
      </w:tr>
    </w:tbl>
    <w:p>
      <w:pPr>
        <w:spacing w:after="80" w:before="60" w:line="200" w:lineRule="exact"/>
      </w:pPr>
      <w:r>
        <w:rPr>
          <w:b/>
          <w:bCs/>
          <w:sz w:val="15"/>
          <w:szCs w:val="15"/>
        </w:rPr>
        <w:t xml:space="preserve">UNIDAD :  CONSOLIDADO</w:t>
      </w:r>
    </w:p>
    <w:tbl>
      <w:tblPr>
        <w:tblW w:type="dxa" w:w="147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36"/>
        <w:gridCol w:w="1053"/>
        <w:gridCol w:w="1053"/>
        <w:gridCol w:w="1053"/>
        <w:gridCol w:w="1043"/>
        <w:gridCol w:w="1063"/>
        <w:gridCol w:w="1053"/>
        <w:gridCol w:w="1113"/>
        <w:gridCol w:w="1053"/>
        <w:gridCol w:w="1053"/>
        <w:gridCol w:w="1053"/>
        <w:gridCol w:w="1053"/>
        <w:gridCol w:w="1075"/>
      </w:tblGrid>
      <w:tr>
        <w:trPr>
          <w:trHeight w:val="812" w:hRule="exact"/>
        </w:trPr>
        <w:tc>
          <w:tcPr>
            <w:tcW w:type="dxa" w:w="2036"/>
            <w:tcBorders>
              <w:top w:val="single" w:color="000000" w:sz="12" w:space="1"/>
              <w:left w:val="single" w:color="000000" w:sz="12" w:space="1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30"/>
              <w:bottom w:type="dxa" w:w="20"/>
              <w:right w:type="dxa" w:w="20"/>
            </w:tcMar>
            <w:vAlign w:val="center"/>
          </w:tcPr>
          <w:p>
            <w:pPr>
              <w:spacing w:after="0" w:before="0" w:line="195" w:lineRule="exact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Denominación</w:t>
            </w:r>
          </w:p>
        </w:tc>
        <w:tc>
          <w:tcPr>
            <w:tcW w:type="dxa" w:w="1053"/>
            <w:tcBorders>
              <w:top w:val="single" w:color="000000" w:sz="12" w:space="1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30"/>
              <w:bottom w:type="dxa" w:w="20"/>
              <w:right w:type="dxa" w:w="20"/>
            </w:tcMar>
            <w:vAlign w:val="bottom"/>
          </w:tcPr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Capital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Institucional</w:t>
            </w:r>
          </w:p>
        </w:tc>
        <w:tc>
          <w:tcPr>
            <w:tcW w:type="dxa" w:w="1053"/>
            <w:tcBorders>
              <w:top w:val="single" w:color="000000" w:sz="12" w:space="1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30"/>
              <w:bottom w:type="dxa" w:w="20"/>
              <w:right w:type="dxa" w:w="20"/>
            </w:tcMar>
            <w:vAlign w:val="bottom"/>
          </w:tcPr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Aportes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de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Capital</w:t>
            </w:r>
          </w:p>
        </w:tc>
        <w:tc>
          <w:tcPr>
            <w:tcW w:type="dxa" w:w="1053"/>
            <w:tcBorders>
              <w:top w:val="single" w:color="000000" w:sz="12" w:space="1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30"/>
              <w:bottom w:type="dxa" w:w="20"/>
              <w:right w:type="dxa" w:w="20"/>
            </w:tcMar>
            <w:vAlign w:val="bottom"/>
          </w:tcPr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Transferen.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Donaciones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de Capital</w:t>
            </w:r>
          </w:p>
        </w:tc>
        <w:tc>
          <w:tcPr>
            <w:tcW w:type="dxa" w:w="1043"/>
            <w:tcBorders>
              <w:top w:val="single" w:color="000000" w:sz="12" w:space="1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30"/>
              <w:bottom w:type="dxa" w:w="20"/>
              <w:right w:type="dxa" w:w="20"/>
            </w:tcMar>
            <w:vAlign w:val="bottom"/>
          </w:tcPr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Reservas</w:t>
            </w:r>
          </w:p>
        </w:tc>
        <w:tc>
          <w:tcPr>
            <w:tcW w:type="dxa" w:w="1063"/>
            <w:tcBorders>
              <w:top w:val="single" w:color="000000" w:sz="12" w:space="1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30"/>
              <w:bottom w:type="dxa" w:w="20"/>
              <w:right w:type="dxa" w:w="20"/>
            </w:tcMar>
            <w:vAlign w:val="bottom"/>
          </w:tcPr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Reservas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Revaluo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Tecnico</w:t>
            </w:r>
          </w:p>
        </w:tc>
        <w:tc>
          <w:tcPr>
            <w:tcW w:type="dxa" w:w="1053"/>
            <w:tcBorders>
              <w:top w:val="single" w:color="000000" w:sz="12" w:space="1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30"/>
              <w:bottom w:type="dxa" w:w="20"/>
              <w:right w:type="dxa" w:w="20"/>
            </w:tcMar>
            <w:vAlign w:val="bottom"/>
          </w:tcPr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Ajuste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Global de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Patrimonio</w:t>
            </w:r>
          </w:p>
        </w:tc>
        <w:tc>
          <w:tcPr>
            <w:tcW w:type="dxa" w:w="1113"/>
            <w:tcBorders>
              <w:top w:val="single" w:color="000000" w:sz="12" w:space="1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30"/>
              <w:bottom w:type="dxa" w:w="20"/>
              <w:right w:type="dxa" w:w="20"/>
            </w:tcMar>
            <w:vAlign w:val="bottom"/>
          </w:tcPr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Resultados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Acumulados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Ejercicios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Anteriores</w:t>
            </w:r>
          </w:p>
        </w:tc>
        <w:tc>
          <w:tcPr>
            <w:tcW w:type="dxa" w:w="1053"/>
            <w:tcBorders>
              <w:top w:val="single" w:color="000000" w:sz="12" w:space="1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30"/>
              <w:bottom w:type="dxa" w:w="20"/>
              <w:right w:type="dxa" w:w="20"/>
            </w:tcMar>
            <w:vAlign w:val="bottom"/>
          </w:tcPr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Resultado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del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Ejercicio</w:t>
            </w:r>
          </w:p>
        </w:tc>
        <w:tc>
          <w:tcPr>
            <w:tcW w:type="dxa" w:w="1053"/>
            <w:tcBorders>
              <w:top w:val="single" w:color="000000" w:sz="12" w:space="1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30"/>
              <w:bottom w:type="dxa" w:w="20"/>
              <w:right w:type="dxa" w:w="20"/>
            </w:tcMar>
            <w:vAlign w:val="bottom"/>
          </w:tcPr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Resultados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Afectados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Constr.de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Bienes Pub.</w:t>
            </w:r>
          </w:p>
        </w:tc>
        <w:tc>
          <w:tcPr>
            <w:tcW w:type="dxa" w:w="1053"/>
            <w:tcBorders>
              <w:top w:val="single" w:color="000000" w:sz="12" w:space="1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30"/>
              <w:bottom w:type="dxa" w:w="20"/>
              <w:right w:type="dxa" w:w="20"/>
            </w:tcMar>
            <w:vAlign w:val="bottom"/>
          </w:tcPr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Resultado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Afectado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Inversiones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No Capitaliz</w:t>
            </w:r>
          </w:p>
        </w:tc>
        <w:tc>
          <w:tcPr>
            <w:tcW w:type="dxa" w:w="1053"/>
            <w:tcBorders>
              <w:top w:val="single" w:color="000000" w:sz="12" w:space="1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30"/>
              <w:bottom w:type="dxa" w:w="20"/>
              <w:right w:type="dxa" w:w="20"/>
            </w:tcMar>
            <w:vAlign w:val="bottom"/>
          </w:tcPr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Patrimonio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Público</w:t>
            </w:r>
          </w:p>
        </w:tc>
        <w:tc>
          <w:tcPr>
            <w:tcW w:type="dxa" w:w="1075"/>
            <w:tcBorders>
              <w:top w:val="single" w:color="000000" w:sz="12" w:space="1"/>
              <w:left w:val="none" w:color="FFFFFF" w:sz="0"/>
              <w:bottom w:val="single" w:color="000000" w:sz="12" w:space="1"/>
              <w:right w:val="single" w:color="000000" w:sz="12" w:space="1"/>
            </w:tcBorders>
            <w:tcMar>
              <w:top w:type="dxa" w:w="0"/>
              <w:left w:type="dxa" w:w="30"/>
              <w:bottom w:type="dxa" w:w="20"/>
              <w:right w:type="dxa" w:w="20"/>
            </w:tcMar>
            <w:vAlign w:val="bottom"/>
          </w:tcPr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Total</w:t>
            </w:r>
          </w:p>
          <w:p>
            <w:pPr>
              <w:spacing w:after="0" w:before="0" w:line="195" w:lineRule="exact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General</w:t>
            </w:r>
          </w:p>
        </w:tc>
      </w:tr>
      <w:tr>
        <w:trPr>
          <w:trHeight w:val="281" w:hRule="atLeast"/>
        </w:trPr>
        <w:tc>
          <w:tcPr>
            <w:tcW w:type="dxa" w:w="2036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0" w:before="0" w:line="195" w:lineRule="exact"/>
            </w:pPr>
            <w:r>
              <w:rPr>
                <w:b/>
                <w:bCs/>
                <w:sz w:val="15"/>
                <w:szCs w:val="15"/>
              </w:rPr>
              <w:t xml:space="preserve">Saldo al Inicio del Periodo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  <w:r>
              <w:rPr>
                <w:sz w:val="10"/>
                <w:szCs w:val="10"/>
              </w:rPr>
              <w:t xml:space="preserve">325,000.00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43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63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75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  <w:r>
              <w:rPr>
                <w:sz w:val="10"/>
                <w:szCs w:val="10"/>
              </w:rPr>
              <w:t xml:space="preserve">325,000.00</w:t>
            </w:r>
          </w:p>
        </w:tc>
      </w:tr>
      <w:tr>
        <w:trPr>
          <w:trHeight w:val="350" w:hRule="atLeast"/>
        </w:trPr>
        <w:tc>
          <w:tcPr>
            <w:tcW w:type="dxa" w:w="2036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tabs>
                <w:tab w:val="left" w:pos="381"/>
              </w:tabs>
              <w:spacing w:after="0" w:before="0" w:line="140" w:lineRule="exact"/>
              <w:ind w:left="381" w:hanging="381"/>
            </w:pPr>
            <w:r>
              <w:rPr>
                <w:sz w:val="12"/>
                <w:szCs w:val="12"/>
              </w:rPr>
              <w:t xml:space="preserve">31110</w:t>
            </w:r>
            <w:r>
              <w:rPr>
                <w:sz w:val="10"/>
                <w:szCs w:val="10"/>
              </w:rPr>
              <w:tab/>
            </w:r>
            <w:r>
              <w:rPr>
                <w:sz w:val="12"/>
                <w:szCs w:val="12"/>
              </w:rPr>
              <w:t xml:space="preserve">Capital Institucional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4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6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75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</w:tr>
      <w:tr>
        <w:trPr>
          <w:trHeight w:val="350" w:hRule="atLeast"/>
        </w:trPr>
        <w:tc>
          <w:tcPr>
            <w:tcW w:type="dxa" w:w="2036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tabs>
                <w:tab w:val="left" w:pos="381"/>
              </w:tabs>
              <w:spacing w:after="0" w:before="0" w:line="140" w:lineRule="exact"/>
              <w:ind w:left="381" w:hanging="381"/>
            </w:pPr>
            <w:r>
              <w:rPr>
                <w:sz w:val="12"/>
                <w:szCs w:val="12"/>
              </w:rPr>
              <w:t xml:space="preserve">31120</w:t>
            </w:r>
            <w:r>
              <w:rPr>
                <w:sz w:val="10"/>
                <w:szCs w:val="10"/>
              </w:rPr>
              <w:tab/>
            </w:r>
            <w:r>
              <w:rPr>
                <w:sz w:val="12"/>
                <w:szCs w:val="12"/>
              </w:rPr>
              <w:t xml:space="preserve">Aportes de Capital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4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6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75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</w:tr>
      <w:tr>
        <w:trPr>
          <w:trHeight w:val="350" w:hRule="atLeast"/>
        </w:trPr>
        <w:tc>
          <w:tcPr>
            <w:tcW w:type="dxa" w:w="2036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tabs>
                <w:tab w:val="left" w:pos="381"/>
              </w:tabs>
              <w:spacing w:after="0" w:before="0" w:line="140" w:lineRule="exact"/>
              <w:ind w:left="381" w:hanging="381"/>
            </w:pPr>
            <w:r>
              <w:rPr>
                <w:sz w:val="12"/>
                <w:szCs w:val="12"/>
              </w:rPr>
              <w:t xml:space="preserve">31130</w:t>
            </w:r>
            <w:r>
              <w:rPr>
                <w:sz w:val="10"/>
                <w:szCs w:val="10"/>
              </w:rPr>
              <w:tab/>
            </w:r>
            <w:r>
              <w:rPr>
                <w:sz w:val="12"/>
                <w:szCs w:val="12"/>
              </w:rPr>
              <w:t xml:space="preserve">Transferencias y Donaciones</w:t>
            </w:r>
            <w:r>
              <w:rPr>
                <w:sz w:val="10"/>
                <w:szCs w:val="10"/>
              </w:rPr>
              <w:br/>
            </w:r>
            <w:r>
              <w:rPr>
                <w:sz w:val="12"/>
                <w:szCs w:val="12"/>
              </w:rPr>
              <w:t xml:space="preserve">de Capital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  <w:r>
              <w:rPr>
                <w:sz w:val="10"/>
                <w:szCs w:val="10"/>
              </w:rPr>
              <w:t xml:space="preserve">5,972,620.00</w:t>
            </w:r>
          </w:p>
        </w:tc>
        <w:tc>
          <w:tcPr>
            <w:tcW w:type="dxa" w:w="104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6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75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  <w:r>
              <w:rPr>
                <w:sz w:val="10"/>
                <w:szCs w:val="10"/>
              </w:rPr>
              <w:t xml:space="preserve">5,972,620.00</w:t>
            </w:r>
          </w:p>
        </w:tc>
      </w:tr>
      <w:tr>
        <w:trPr>
          <w:trHeight w:val="350" w:hRule="atLeast"/>
        </w:trPr>
        <w:tc>
          <w:tcPr>
            <w:tcW w:type="dxa" w:w="2036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tabs>
                <w:tab w:val="left" w:pos="381"/>
              </w:tabs>
              <w:spacing w:after="0" w:before="0" w:line="140" w:lineRule="exact"/>
              <w:ind w:left="381" w:hanging="381"/>
            </w:pPr>
            <w:r>
              <w:rPr>
                <w:sz w:val="12"/>
                <w:szCs w:val="12"/>
              </w:rPr>
              <w:t xml:space="preserve">31140</w:t>
            </w:r>
            <w:r>
              <w:rPr>
                <w:sz w:val="10"/>
                <w:szCs w:val="10"/>
              </w:rPr>
              <w:tab/>
            </w:r>
            <w:r>
              <w:rPr>
                <w:sz w:val="12"/>
                <w:szCs w:val="12"/>
              </w:rPr>
              <w:t xml:space="preserve">Afectaciones Patrimoniales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4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6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75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</w:tr>
      <w:tr>
        <w:trPr>
          <w:trHeight w:val="350" w:hRule="atLeast"/>
        </w:trPr>
        <w:tc>
          <w:tcPr>
            <w:tcW w:type="dxa" w:w="2036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tabs>
                <w:tab w:val="left" w:pos="381"/>
              </w:tabs>
              <w:spacing w:after="0" w:before="0" w:line="140" w:lineRule="exact"/>
              <w:ind w:left="381" w:hanging="381"/>
            </w:pPr>
            <w:r>
              <w:rPr>
                <w:sz w:val="12"/>
                <w:szCs w:val="12"/>
              </w:rPr>
              <w:t xml:space="preserve">31200</w:t>
            </w:r>
            <w:r>
              <w:rPr>
                <w:sz w:val="10"/>
                <w:szCs w:val="10"/>
              </w:rPr>
              <w:tab/>
            </w:r>
            <w:r>
              <w:rPr>
                <w:sz w:val="12"/>
                <w:szCs w:val="12"/>
              </w:rPr>
              <w:t xml:space="preserve">Reservas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4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6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75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</w:tr>
      <w:tr>
        <w:trPr>
          <w:trHeight w:val="350" w:hRule="atLeast"/>
        </w:trPr>
        <w:tc>
          <w:tcPr>
            <w:tcW w:type="dxa" w:w="2036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tabs>
                <w:tab w:val="left" w:pos="381"/>
              </w:tabs>
              <w:spacing w:after="0" w:before="0" w:line="140" w:lineRule="exact"/>
              <w:ind w:left="381" w:hanging="381"/>
            </w:pPr>
            <w:r>
              <w:rPr>
                <w:sz w:val="12"/>
                <w:szCs w:val="12"/>
              </w:rPr>
              <w:t xml:space="preserve">31300</w:t>
            </w:r>
            <w:r>
              <w:rPr>
                <w:sz w:val="10"/>
                <w:szCs w:val="10"/>
              </w:rPr>
              <w:tab/>
            </w:r>
            <w:r>
              <w:rPr>
                <w:sz w:val="12"/>
                <w:szCs w:val="12"/>
              </w:rPr>
              <w:t xml:space="preserve">Reservas por Revalúos</w:t>
            </w:r>
            <w:r>
              <w:rPr>
                <w:sz w:val="10"/>
                <w:szCs w:val="10"/>
              </w:rPr>
              <w:br/>
            </w:r>
            <w:r>
              <w:rPr>
                <w:sz w:val="12"/>
                <w:szCs w:val="12"/>
              </w:rPr>
              <w:t xml:space="preserve">Técnicos de Activos Fijos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4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6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75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</w:tr>
      <w:tr>
        <w:trPr>
          <w:trHeight w:val="350" w:hRule="atLeast"/>
        </w:trPr>
        <w:tc>
          <w:tcPr>
            <w:tcW w:type="dxa" w:w="2036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tabs>
                <w:tab w:val="left" w:pos="381"/>
              </w:tabs>
              <w:spacing w:after="0" w:before="0" w:line="140" w:lineRule="exact"/>
              <w:ind w:left="381" w:hanging="381"/>
            </w:pPr>
            <w:r>
              <w:rPr>
                <w:sz w:val="12"/>
                <w:szCs w:val="12"/>
              </w:rPr>
              <w:t xml:space="preserve">31400</w:t>
            </w:r>
            <w:r>
              <w:rPr>
                <w:sz w:val="10"/>
                <w:szCs w:val="10"/>
              </w:rPr>
              <w:tab/>
            </w:r>
            <w:r>
              <w:rPr>
                <w:sz w:val="12"/>
                <w:szCs w:val="12"/>
              </w:rPr>
              <w:t xml:space="preserve">Ajuste Global del Patrimonio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4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6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75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</w:tr>
      <w:tr>
        <w:trPr>
          <w:trHeight w:val="350" w:hRule="atLeast"/>
        </w:trPr>
        <w:tc>
          <w:tcPr>
            <w:tcW w:type="dxa" w:w="2036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tabs>
                <w:tab w:val="left" w:pos="381"/>
              </w:tabs>
              <w:spacing w:after="0" w:before="0" w:line="140" w:lineRule="exact"/>
              <w:ind w:left="381" w:hanging="381"/>
            </w:pPr>
            <w:r>
              <w:rPr>
                <w:sz w:val="12"/>
                <w:szCs w:val="12"/>
              </w:rPr>
              <w:t xml:space="preserve">31510</w:t>
            </w:r>
            <w:r>
              <w:rPr>
                <w:sz w:val="10"/>
                <w:szCs w:val="10"/>
              </w:rPr>
              <w:tab/>
            </w:r>
            <w:r>
              <w:rPr>
                <w:sz w:val="12"/>
                <w:szCs w:val="12"/>
              </w:rPr>
              <w:t xml:space="preserve">Resultados Acumulados de</w:t>
            </w:r>
            <w:r>
              <w:rPr>
                <w:sz w:val="10"/>
                <w:szCs w:val="10"/>
              </w:rPr>
              <w:br/>
            </w:r>
            <w:r>
              <w:rPr>
                <w:sz w:val="12"/>
                <w:szCs w:val="12"/>
              </w:rPr>
              <w:t xml:space="preserve">Ejercicios Anteriores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4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6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75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</w:tr>
      <w:tr>
        <w:trPr>
          <w:trHeight w:val="350" w:hRule="atLeast"/>
        </w:trPr>
        <w:tc>
          <w:tcPr>
            <w:tcW w:type="dxa" w:w="2036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tabs>
                <w:tab w:val="left" w:pos="381"/>
              </w:tabs>
              <w:spacing w:after="0" w:before="0" w:line="140" w:lineRule="exact"/>
              <w:ind w:left="381" w:hanging="381"/>
            </w:pPr>
            <w:r>
              <w:rPr>
                <w:sz w:val="12"/>
                <w:szCs w:val="12"/>
              </w:rPr>
              <w:t xml:space="preserve">31520</w:t>
            </w:r>
            <w:r>
              <w:rPr>
                <w:sz w:val="10"/>
                <w:szCs w:val="10"/>
              </w:rPr>
              <w:tab/>
            </w:r>
            <w:r>
              <w:rPr>
                <w:sz w:val="12"/>
                <w:szCs w:val="12"/>
              </w:rPr>
              <w:t xml:space="preserve">Resultado del Ejercicio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4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6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  <w:r>
              <w:rPr>
                <w:sz w:val="10"/>
                <w:szCs w:val="10"/>
              </w:rPr>
              <w:t xml:space="preserve">2,140,500.00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75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  <w:r>
              <w:rPr>
                <w:sz w:val="10"/>
                <w:szCs w:val="10"/>
              </w:rPr>
              <w:t xml:space="preserve">2,140,500.00</w:t>
            </w:r>
          </w:p>
        </w:tc>
      </w:tr>
      <w:tr>
        <w:trPr>
          <w:trHeight w:val="350" w:hRule="atLeast"/>
        </w:trPr>
        <w:tc>
          <w:tcPr>
            <w:tcW w:type="dxa" w:w="2036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tabs>
                <w:tab w:val="left" w:pos="381"/>
              </w:tabs>
              <w:spacing w:after="0" w:before="0" w:line="140" w:lineRule="exact"/>
              <w:ind w:left="381" w:hanging="381"/>
            </w:pPr>
            <w:r>
              <w:rPr>
                <w:sz w:val="12"/>
                <w:szCs w:val="12"/>
              </w:rPr>
              <w:t xml:space="preserve">31530</w:t>
            </w:r>
            <w:r>
              <w:rPr>
                <w:sz w:val="10"/>
                <w:szCs w:val="10"/>
              </w:rPr>
              <w:tab/>
            </w:r>
            <w:r>
              <w:rPr>
                <w:sz w:val="12"/>
                <w:szCs w:val="12"/>
              </w:rPr>
              <w:t xml:space="preserve">(Resultados Afectados a</w:t>
            </w:r>
            <w:r>
              <w:rPr>
                <w:sz w:val="10"/>
                <w:szCs w:val="10"/>
              </w:rPr>
              <w:br/>
            </w:r>
            <w:r>
              <w:rPr>
                <w:sz w:val="12"/>
                <w:szCs w:val="12"/>
              </w:rPr>
              <w:t xml:space="preserve">Construcciones de Bienes d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4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6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75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</w:tr>
      <w:tr>
        <w:trPr>
          <w:trHeight w:val="350" w:hRule="atLeast"/>
        </w:trPr>
        <w:tc>
          <w:tcPr>
            <w:tcW w:type="dxa" w:w="2036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tabs>
                <w:tab w:val="left" w:pos="381"/>
              </w:tabs>
              <w:spacing w:after="0" w:before="0" w:line="140" w:lineRule="exact"/>
              <w:ind w:left="381" w:hanging="381"/>
            </w:pPr>
            <w:r>
              <w:rPr>
                <w:sz w:val="12"/>
                <w:szCs w:val="12"/>
              </w:rPr>
              <w:t xml:space="preserve">31540</w:t>
            </w:r>
            <w:r>
              <w:rPr>
                <w:sz w:val="10"/>
                <w:szCs w:val="10"/>
              </w:rPr>
              <w:tab/>
            </w:r>
            <w:r>
              <w:rPr>
                <w:sz w:val="12"/>
                <w:szCs w:val="12"/>
              </w:rPr>
              <w:t xml:space="preserve">Resultados Afectados por</w:t>
            </w:r>
            <w:r>
              <w:rPr>
                <w:sz w:val="10"/>
                <w:szCs w:val="10"/>
              </w:rPr>
              <w:br/>
            </w:r>
            <w:r>
              <w:rPr>
                <w:sz w:val="12"/>
                <w:szCs w:val="12"/>
              </w:rPr>
              <w:t xml:space="preserve">Inversiones no Capitaliza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4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6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75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</w:tr>
      <w:tr>
        <w:trPr>
          <w:trHeight w:val="350" w:hRule="atLeast"/>
        </w:trPr>
        <w:tc>
          <w:tcPr>
            <w:tcW w:type="dxa" w:w="2036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tabs>
                <w:tab w:val="left" w:pos="381"/>
              </w:tabs>
              <w:spacing w:after="0" w:before="0" w:line="140" w:lineRule="exact"/>
              <w:ind w:left="381" w:hanging="381"/>
            </w:pPr>
            <w:r>
              <w:rPr>
                <w:sz w:val="12"/>
                <w:szCs w:val="12"/>
              </w:rPr>
              <w:t xml:space="preserve">31600</w:t>
            </w:r>
            <w:r>
              <w:rPr>
                <w:sz w:val="10"/>
                <w:szCs w:val="10"/>
              </w:rPr>
              <w:tab/>
            </w:r>
            <w:r>
              <w:rPr>
                <w:sz w:val="12"/>
                <w:szCs w:val="12"/>
              </w:rPr>
              <w:t xml:space="preserve">Ajuste de Capital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4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6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75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</w:tr>
      <w:tr>
        <w:trPr>
          <w:trHeight w:val="350" w:hRule="atLeast"/>
        </w:trPr>
        <w:tc>
          <w:tcPr>
            <w:tcW w:type="dxa" w:w="2036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tabs>
                <w:tab w:val="left" w:pos="381"/>
              </w:tabs>
              <w:spacing w:after="0" w:before="0" w:line="140" w:lineRule="exact"/>
              <w:ind w:left="381" w:hanging="381"/>
            </w:pPr>
            <w:r>
              <w:rPr>
                <w:sz w:val="12"/>
                <w:szCs w:val="12"/>
              </w:rPr>
              <w:t xml:space="preserve">31700</w:t>
            </w:r>
            <w:r>
              <w:rPr>
                <w:sz w:val="10"/>
                <w:szCs w:val="10"/>
              </w:rPr>
              <w:tab/>
            </w:r>
            <w:r>
              <w:rPr>
                <w:sz w:val="12"/>
                <w:szCs w:val="12"/>
              </w:rPr>
              <w:t xml:space="preserve">Ajuste de Reservas</w:t>
            </w:r>
            <w:r>
              <w:rPr>
                <w:sz w:val="10"/>
                <w:szCs w:val="10"/>
              </w:rPr>
              <w:br/>
            </w:r>
            <w:r>
              <w:rPr>
                <w:sz w:val="12"/>
                <w:szCs w:val="12"/>
              </w:rPr>
              <w:t xml:space="preserve">Patrimoniales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4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6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75"/>
            <w:tcBorders>
              <w:top w:val="none" w:color="FFFFFF" w:sz="0"/>
              <w:left w:val="none" w:color="FFFFFF" w:sz="0"/>
              <w:bottom w:val="dotted" w:color="000000" w:sz="4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</w:tr>
      <w:tr>
        <w:trPr>
          <w:trHeight w:val="350" w:hRule="atLeast"/>
        </w:trPr>
        <w:tc>
          <w:tcPr>
            <w:tcW w:type="dxa" w:w="2036"/>
            <w:tcBorders>
              <w:top w:val="none" w:color="FFFFFF" w:sz="0"/>
              <w:left w:val="none" w:color="FFFFFF" w:sz="0"/>
              <w:bottom w:val="double" w:color="000000" w:sz="6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tabs>
                <w:tab w:val="left" w:pos="381"/>
              </w:tabs>
              <w:spacing w:after="0" w:before="0" w:line="140" w:lineRule="exact"/>
              <w:ind w:left="381" w:hanging="381"/>
            </w:pPr>
            <w:r>
              <w:rPr>
                <w:sz w:val="12"/>
                <w:szCs w:val="12"/>
              </w:rPr>
              <w:t xml:space="preserve">32000</w:t>
            </w:r>
            <w:r>
              <w:rPr>
                <w:sz w:val="10"/>
                <w:szCs w:val="10"/>
              </w:rPr>
              <w:tab/>
            </w:r>
            <w:r>
              <w:rPr>
                <w:sz w:val="12"/>
                <w:szCs w:val="12"/>
              </w:rPr>
              <w:t xml:space="preserve">Patrimonio Público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uble" w:color="000000" w:sz="6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uble" w:color="000000" w:sz="6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uble" w:color="000000" w:sz="6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43"/>
            <w:tcBorders>
              <w:top w:val="none" w:color="FFFFFF" w:sz="0"/>
              <w:left w:val="none" w:color="FFFFFF" w:sz="0"/>
              <w:bottom w:val="double" w:color="000000" w:sz="6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63"/>
            <w:tcBorders>
              <w:top w:val="none" w:color="FFFFFF" w:sz="0"/>
              <w:left w:val="none" w:color="FFFFFF" w:sz="0"/>
              <w:bottom w:val="double" w:color="000000" w:sz="6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uble" w:color="000000" w:sz="6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double" w:color="000000" w:sz="6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uble" w:color="000000" w:sz="6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uble" w:color="000000" w:sz="6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uble" w:color="000000" w:sz="6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double" w:color="000000" w:sz="6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75"/>
            <w:tcBorders>
              <w:top w:val="none" w:color="FFFFFF" w:sz="0"/>
              <w:left w:val="none" w:color="FFFFFF" w:sz="0"/>
              <w:bottom w:val="double" w:color="000000" w:sz="6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</w:tr>
      <w:tr>
        <w:trPr>
          <w:trHeight w:val="271" w:hRule="atLeast"/>
        </w:trPr>
        <w:tc>
          <w:tcPr>
            <w:tcW w:type="dxa" w:w="20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0" w:before="0" w:line="195" w:lineRule="exact"/>
            </w:pPr>
            <w:r>
              <w:rPr>
                <w:b/>
                <w:bCs/>
                <w:sz w:val="15"/>
                <w:szCs w:val="15"/>
              </w:rPr>
              <w:t xml:space="preserve">Saldo al Final del Periodo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  <w:r>
              <w:rPr>
                <w:sz w:val="10"/>
                <w:szCs w:val="10"/>
              </w:rPr>
              <w:t xml:space="preserve">325,000.00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  <w:r>
              <w:rPr>
                <w:sz w:val="10"/>
                <w:szCs w:val="10"/>
              </w:rPr>
              <w:t xml:space="preserve">5,972,620.00</w:t>
            </w:r>
          </w:p>
        </w:tc>
        <w:tc>
          <w:tcPr>
            <w:tcW w:type="dxa" w:w="10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  <w:r>
              <w:rPr>
                <w:sz w:val="10"/>
                <w:szCs w:val="10"/>
              </w:rPr>
              <w:t xml:space="preserve">2,140,500.00</w:t>
            </w: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</w:p>
        </w:tc>
        <w:tc>
          <w:tcPr>
            <w:tcW w:type="dxa" w:w="10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 w:line="120" w:lineRule="exact"/>
              <w:jc w:val="right"/>
            </w:pPr>
            <w:r>
              <w:rPr>
                <w:sz w:val="10"/>
                <w:szCs w:val="10"/>
              </w:rPr>
              <w:t xml:space="preserve">8,438,120.00</w:t>
            </w:r>
          </w:p>
        </w:tc>
      </w:tr>
    </w:tbl>
    <w:p>
      <w:pPr>
        <w:spacing w:after="0" w:before="30" w:line="130" w:lineRule="exact"/>
      </w:pPr>
      <w:r>
        <w:rPr>
          <w:rFonts w:ascii="Courier New" w:cs="Courier New" w:eastAsia="Courier New" w:hAnsi="Courier New"/>
          <w:sz w:val="10"/>
          <w:szCs w:val="10"/>
        </w:rPr>
        <w:t xml:space="preserve">Falta realizar el ASIENTO DE CIERRE en la Unidad: 001</w:t>
      </w:r>
    </w:p>
    <w:p>
      <w:pPr>
        <w:spacing w:after="0" w:before="0" w:line="130" w:lineRule="exact"/>
      </w:pPr>
      <w:r>
        <w:rPr>
          <w:rFonts w:ascii="Courier New" w:cs="Courier New" w:eastAsia="Courier New" w:hAnsi="Courier New"/>
          <w:sz w:val="10"/>
          <w:szCs w:val="10"/>
        </w:rPr>
        <w:t xml:space="preserve">Unidad : 001 Falta Cierre por : 2,150,000.00</w:t>
      </w:r>
    </w:p>
    <w:sectPr>
      <w:pgSz w:w="15840" w:h="12240" w:orient="landscape"/>
      <w:pgMar w:top="300" w:right="645" w:bottom="400" w:left="44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2026-10-22T02:48:33.879Z</dcterms:created>
  <dcterms:modified xsi:type="dcterms:W3CDTF">2026-10-22T02:48:33.879Z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