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000"/>
      </w:tblPr>
      <w:tblGrid>
        <w:gridCol w:w="8306"/>
      </w:tblGrid>
      <w:tr w:rsidR="006731AC" w:rsidRPr="00374B1C" w:rsidTr="006A2506">
        <w:trPr>
          <w:tblCellSpacing w:w="0" w:type="dxa"/>
        </w:trPr>
        <w:tc>
          <w:tcPr>
            <w:tcW w:w="0" w:type="auto"/>
            <w:tcMar>
              <w:top w:w="30" w:type="dxa"/>
              <w:left w:w="0" w:type="dxa"/>
              <w:bottom w:w="150" w:type="dxa"/>
              <w:right w:w="0" w:type="dxa"/>
            </w:tcMar>
            <w:vAlign w:val="center"/>
          </w:tcPr>
          <w:p w:rsidR="006731AC" w:rsidRPr="00374B1C" w:rsidRDefault="006731AC" w:rsidP="006A2506">
            <w:pPr>
              <w:widowControl/>
              <w:spacing w:line="495" w:lineRule="atLeast"/>
              <w:jc w:val="center"/>
              <w:rPr>
                <w:rFonts w:ascii="宋体" w:hAnsi="宋体" w:cs="宋体"/>
                <w:b/>
                <w:bCs/>
                <w:color w:val="093A96"/>
                <w:kern w:val="0"/>
                <w:sz w:val="33"/>
                <w:szCs w:val="33"/>
              </w:rPr>
            </w:pPr>
            <w:r w:rsidRPr="00374B1C">
              <w:rPr>
                <w:rFonts w:ascii="宋体" w:hAnsi="宋体" w:cs="宋体" w:hint="eastAsia"/>
                <w:b/>
                <w:bCs/>
                <w:color w:val="093A96"/>
                <w:kern w:val="0"/>
                <w:sz w:val="33"/>
                <w:szCs w:val="33"/>
              </w:rPr>
              <w:t>关于生蚝微生物污染的风险解析</w:t>
            </w:r>
          </w:p>
        </w:tc>
      </w:tr>
      <w:tr w:rsidR="006731AC" w:rsidRPr="00374B1C" w:rsidTr="006A2506">
        <w:trPr>
          <w:tblCellSpacing w:w="0" w:type="dxa"/>
        </w:trPr>
        <w:tc>
          <w:tcPr>
            <w:tcW w:w="0" w:type="auto"/>
            <w:vAlign w:val="center"/>
          </w:tcPr>
          <w:p w:rsidR="006731AC" w:rsidRPr="00374B1C" w:rsidRDefault="006731AC" w:rsidP="006A2506">
            <w:pPr>
              <w:widowControl/>
              <w:spacing w:line="540" w:lineRule="atLeast"/>
              <w:jc w:val="center"/>
              <w:rPr>
                <w:rFonts w:ascii="宋体" w:hAnsi="宋体" w:cs="宋体"/>
                <w:b/>
                <w:bCs/>
                <w:color w:val="093A96"/>
                <w:kern w:val="0"/>
                <w:sz w:val="27"/>
                <w:szCs w:val="27"/>
              </w:rPr>
            </w:pPr>
          </w:p>
        </w:tc>
      </w:tr>
      <w:tr w:rsidR="006731AC" w:rsidRPr="00374B1C" w:rsidTr="006A2506">
        <w:trPr>
          <w:tblCellSpacing w:w="0" w:type="dxa"/>
        </w:trPr>
        <w:tc>
          <w:tcPr>
            <w:tcW w:w="0" w:type="auto"/>
            <w:vAlign w:val="center"/>
          </w:tcPr>
          <w:tbl>
            <w:tblPr>
              <w:tblW w:w="0" w:type="auto"/>
              <w:jc w:val="right"/>
              <w:tblCellSpacing w:w="15" w:type="dxa"/>
              <w:tblCellMar>
                <w:left w:w="0" w:type="dxa"/>
                <w:right w:w="0" w:type="dxa"/>
              </w:tblCellMar>
              <w:tblLook w:val="0000"/>
            </w:tblPr>
            <w:tblGrid>
              <w:gridCol w:w="1005"/>
              <w:gridCol w:w="2865"/>
            </w:tblGrid>
            <w:tr w:rsidR="006731AC" w:rsidRPr="00374B1C" w:rsidTr="006A2506">
              <w:trPr>
                <w:tblCellSpacing w:w="15" w:type="dxa"/>
                <w:jc w:val="right"/>
              </w:trPr>
              <w:tc>
                <w:tcPr>
                  <w:tcW w:w="0" w:type="auto"/>
                  <w:tcMar>
                    <w:top w:w="60" w:type="dxa"/>
                    <w:left w:w="0" w:type="dxa"/>
                    <w:bottom w:w="0" w:type="dxa"/>
                    <w:right w:w="0" w:type="dxa"/>
                  </w:tcMar>
                  <w:vAlign w:val="center"/>
                </w:tcPr>
                <w:p w:rsidR="006731AC" w:rsidRPr="00374B1C" w:rsidRDefault="006731AC" w:rsidP="006A2506">
                  <w:pPr>
                    <w:widowControl/>
                    <w:spacing w:line="306" w:lineRule="atLeast"/>
                    <w:jc w:val="left"/>
                    <w:rPr>
                      <w:rFonts w:ascii="宋体" w:hAnsi="宋体" w:cs="宋体"/>
                      <w:kern w:val="0"/>
                      <w:sz w:val="18"/>
                      <w:szCs w:val="18"/>
                    </w:rPr>
                  </w:pPr>
                  <w:r>
                    <w:rPr>
                      <w:rFonts w:ascii="宋体" w:hAnsi="宋体" w:cs="宋体"/>
                      <w:noProof/>
                      <w:kern w:val="0"/>
                      <w:sz w:val="18"/>
                      <w:szCs w:val="18"/>
                    </w:rPr>
                    <w:drawing>
                      <wp:inline distT="0" distB="0" distL="0" distR="0">
                        <wp:extent cx="228600" cy="228600"/>
                        <wp:effectExtent l="19050" t="0" r="0" b="0"/>
                        <wp:docPr id="1" name="btnDown"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nDown" descr="下载"/>
                                <pic:cNvPicPr>
                                  <a:picLocks noChangeAspect="1" noChangeArrowheads="1"/>
                                </pic:cNvPicPr>
                              </pic:nvPicPr>
                              <pic:blipFill>
                                <a:blip r:embed="rId4"/>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374B1C">
                    <w:rPr>
                      <w:rFonts w:ascii="宋体" w:hAnsi="宋体" w:cs="宋体" w:hint="eastAsia"/>
                      <w:kern w:val="0"/>
                      <w:sz w:val="18"/>
                    </w:rPr>
                    <w:t> </w:t>
                  </w:r>
                  <w:r>
                    <w:rPr>
                      <w:rFonts w:ascii="宋体" w:hAnsi="宋体" w:cs="宋体"/>
                      <w:noProof/>
                      <w:kern w:val="0"/>
                      <w:sz w:val="18"/>
                      <w:szCs w:val="18"/>
                    </w:rPr>
                    <w:drawing>
                      <wp:inline distT="0" distB="0" distL="0" distR="0">
                        <wp:extent cx="228600" cy="228600"/>
                        <wp:effectExtent l="19050" t="0" r="0" b="0"/>
                        <wp:docPr id="2" name="btnPrint" descr="打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nPrint" descr="打印"/>
                                <pic:cNvPicPr>
                                  <a:picLocks noChangeAspect="1" noChangeArrowheads="1"/>
                                </pic:cNvPicPr>
                              </pic:nvPicPr>
                              <pic:blipFill>
                                <a:blip r:embed="rId5"/>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c>
                <w:tcPr>
                  <w:tcW w:w="0" w:type="auto"/>
                  <w:vAlign w:val="center"/>
                </w:tcPr>
                <w:p w:rsidR="006731AC" w:rsidRPr="00374B1C" w:rsidRDefault="006731AC" w:rsidP="006A2506">
                  <w:pPr>
                    <w:widowControl/>
                    <w:spacing w:line="306" w:lineRule="atLeast"/>
                    <w:jc w:val="left"/>
                    <w:rPr>
                      <w:rFonts w:ascii="宋体" w:hAnsi="宋体" w:cs="宋体"/>
                      <w:kern w:val="0"/>
                      <w:sz w:val="18"/>
                      <w:szCs w:val="18"/>
                    </w:rPr>
                  </w:pPr>
                  <w:r w:rsidRPr="00374B1C">
                    <w:rPr>
                      <w:rFonts w:ascii="宋体" w:hAnsi="宋体" w:cs="宋体" w:hint="eastAsia"/>
                      <w:kern w:val="0"/>
                      <w:sz w:val="18"/>
                      <w:szCs w:val="18"/>
                    </w:rPr>
                    <w:t>   </w:t>
                  </w:r>
                  <w:r w:rsidRPr="00374B1C">
                    <w:rPr>
                      <w:rFonts w:ascii="宋体" w:hAnsi="宋体" w:cs="宋体" w:hint="eastAsia"/>
                      <w:kern w:val="0"/>
                      <w:sz w:val="18"/>
                    </w:rPr>
                    <w:t> </w:t>
                  </w:r>
                  <w:hyperlink r:id="rId6" w:tgtFrame="_blank" w:history="1">
                    <w:r>
                      <w:rPr>
                        <w:rFonts w:ascii="宋体" w:hAnsi="宋体" w:cs="宋体"/>
                        <w:noProof/>
                        <w:color w:val="3A3A3A"/>
                        <w:kern w:val="0"/>
                        <w:sz w:val="18"/>
                        <w:szCs w:val="18"/>
                      </w:rPr>
                      <w:drawing>
                        <wp:inline distT="0" distB="0" distL="0" distR="0">
                          <wp:extent cx="228600" cy="228600"/>
                          <wp:effectExtent l="19050" t="0" r="0" b="0"/>
                          <wp:docPr id="3" name="图片 3" descr="分享到新浪微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分享到新浪微博"/>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374B1C">
                      <w:rPr>
                        <w:rFonts w:ascii="宋体" w:hAnsi="宋体" w:cs="宋体" w:hint="eastAsia"/>
                        <w:color w:val="3A3A3A"/>
                        <w:kern w:val="0"/>
                        <w:sz w:val="18"/>
                      </w:rPr>
                      <w:t> </w:t>
                    </w:r>
                  </w:hyperlink>
                  <w:hyperlink r:id="rId8" w:tgtFrame="_blank" w:history="1">
                    <w:r>
                      <w:rPr>
                        <w:rFonts w:ascii="宋体" w:hAnsi="宋体" w:cs="宋体"/>
                        <w:noProof/>
                        <w:color w:val="3A3A3A"/>
                        <w:kern w:val="0"/>
                        <w:sz w:val="18"/>
                        <w:szCs w:val="18"/>
                      </w:rPr>
                      <w:drawing>
                        <wp:inline distT="0" distB="0" distL="0" distR="0">
                          <wp:extent cx="228600" cy="228600"/>
                          <wp:effectExtent l="19050" t="0" r="0" b="0"/>
                          <wp:docPr id="4" name="图片 4" descr="分享到腾讯微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分享到腾讯微博"/>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374B1C">
                      <w:rPr>
                        <w:rFonts w:ascii="宋体" w:hAnsi="宋体" w:cs="宋体" w:hint="eastAsia"/>
                        <w:color w:val="3A3A3A"/>
                        <w:kern w:val="0"/>
                        <w:sz w:val="18"/>
                      </w:rPr>
                      <w:t> </w:t>
                    </w:r>
                  </w:hyperlink>
                  <w:hyperlink r:id="rId10" w:tgtFrame="_blank" w:history="1">
                    <w:r>
                      <w:rPr>
                        <w:rFonts w:ascii="宋体" w:hAnsi="宋体" w:cs="宋体"/>
                        <w:noProof/>
                        <w:color w:val="3A3A3A"/>
                        <w:kern w:val="0"/>
                        <w:sz w:val="18"/>
                        <w:szCs w:val="18"/>
                      </w:rPr>
                      <w:drawing>
                        <wp:inline distT="0" distB="0" distL="0" distR="0">
                          <wp:extent cx="228600" cy="228600"/>
                          <wp:effectExtent l="19050" t="0" r="0" b="0"/>
                          <wp:docPr id="5" name="图片 5" descr="分享到QQ空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分享到QQ空间"/>
                                  <pic:cNvPicPr>
                                    <a:picLocks noChangeAspect="1" noChangeArrowheads="1"/>
                                  </pic:cNvPicPr>
                                </pic:nvPicPr>
                                <pic:blipFill>
                                  <a:blip r:embed="rId1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374B1C">
                      <w:rPr>
                        <w:rFonts w:ascii="宋体" w:hAnsi="宋体" w:cs="宋体" w:hint="eastAsia"/>
                        <w:color w:val="3A3A3A"/>
                        <w:kern w:val="0"/>
                        <w:sz w:val="18"/>
                      </w:rPr>
                      <w:t> </w:t>
                    </w:r>
                  </w:hyperlink>
                  <w:r>
                    <w:rPr>
                      <w:rFonts w:ascii="宋体" w:hAnsi="宋体" w:cs="宋体"/>
                      <w:noProof/>
                      <w:color w:val="3A3A3A"/>
                      <w:kern w:val="0"/>
                      <w:sz w:val="18"/>
                      <w:szCs w:val="18"/>
                    </w:rPr>
                    <w:drawing>
                      <wp:inline distT="0" distB="0" distL="0" distR="0">
                        <wp:extent cx="228600" cy="228600"/>
                        <wp:effectExtent l="19050" t="0" r="0" b="0"/>
                        <wp:docPr id="6" name="图片 6" descr="分享到微信">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分享到微信"/>
                                <pic:cNvPicPr>
                                  <a:picLocks noChangeAspect="1" noChangeArrowheads="1"/>
                                </pic:cNvPicPr>
                              </pic:nvPicPr>
                              <pic:blipFill>
                                <a:blip r:embed="rId13"/>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bl>
          <w:p w:rsidR="006731AC" w:rsidRPr="00374B1C" w:rsidRDefault="006731AC" w:rsidP="006A2506">
            <w:pPr>
              <w:widowControl/>
              <w:spacing w:line="306" w:lineRule="atLeast"/>
              <w:jc w:val="right"/>
              <w:rPr>
                <w:rFonts w:ascii="宋体" w:hAnsi="宋体" w:cs="宋体"/>
                <w:kern w:val="0"/>
                <w:sz w:val="18"/>
                <w:szCs w:val="18"/>
              </w:rPr>
            </w:pPr>
          </w:p>
        </w:tc>
      </w:tr>
      <w:tr w:rsidR="006731AC" w:rsidRPr="00374B1C" w:rsidTr="006A2506">
        <w:trPr>
          <w:tblCellSpacing w:w="0" w:type="dxa"/>
        </w:trPr>
        <w:tc>
          <w:tcPr>
            <w:tcW w:w="0" w:type="auto"/>
            <w:tcMar>
              <w:top w:w="120" w:type="dxa"/>
              <w:left w:w="0" w:type="dxa"/>
              <w:bottom w:w="0" w:type="dxa"/>
              <w:right w:w="0" w:type="dxa"/>
            </w:tcMar>
            <w:vAlign w:val="center"/>
          </w:tcPr>
          <w:p w:rsidR="006731AC" w:rsidRPr="00374B1C" w:rsidRDefault="006731AC" w:rsidP="006A2506">
            <w:pPr>
              <w:widowControl/>
              <w:spacing w:line="315" w:lineRule="atLeast"/>
              <w:jc w:val="right"/>
              <w:rPr>
                <w:rFonts w:ascii="宋体" w:hAnsi="宋体" w:cs="宋体"/>
                <w:color w:val="919191"/>
                <w:kern w:val="0"/>
                <w:szCs w:val="21"/>
              </w:rPr>
            </w:pPr>
            <w:smartTag w:uri="urn:schemas-microsoft-com:office:smarttags" w:element="chsdate">
              <w:smartTagPr>
                <w:attr w:name="Year" w:val="2016"/>
                <w:attr w:name="Month" w:val="12"/>
                <w:attr w:name="Day" w:val="21"/>
                <w:attr w:name="IsLunarDate" w:val="False"/>
                <w:attr w:name="IsROCDate" w:val="False"/>
              </w:smartTagPr>
              <w:r w:rsidRPr="00374B1C">
                <w:rPr>
                  <w:rFonts w:ascii="宋体" w:hAnsi="宋体" w:cs="宋体" w:hint="eastAsia"/>
                  <w:color w:val="919191"/>
                  <w:kern w:val="0"/>
                  <w:szCs w:val="21"/>
                </w:rPr>
                <w:t>2016年12月21日</w:t>
              </w:r>
            </w:smartTag>
            <w:r w:rsidRPr="00374B1C">
              <w:rPr>
                <w:rFonts w:ascii="宋体" w:hAnsi="宋体" w:cs="宋体" w:hint="eastAsia"/>
                <w:color w:val="919191"/>
                <w:kern w:val="0"/>
                <w:szCs w:val="21"/>
              </w:rPr>
              <w:t xml:space="preserve"> 发布</w:t>
            </w:r>
          </w:p>
        </w:tc>
      </w:tr>
      <w:tr w:rsidR="006731AC" w:rsidRPr="00374B1C" w:rsidTr="006A2506">
        <w:trPr>
          <w:trHeight w:val="60"/>
          <w:tblCellSpacing w:w="0" w:type="dxa"/>
        </w:trPr>
        <w:tc>
          <w:tcPr>
            <w:tcW w:w="11070" w:type="dxa"/>
            <w:vAlign w:val="center"/>
          </w:tcPr>
          <w:p w:rsidR="006731AC" w:rsidRPr="00374B1C" w:rsidRDefault="006731AC" w:rsidP="006A2506">
            <w:pPr>
              <w:widowControl/>
              <w:spacing w:line="306" w:lineRule="atLeast"/>
              <w:jc w:val="center"/>
              <w:rPr>
                <w:rFonts w:ascii="宋体" w:hAnsi="宋体" w:cs="宋体"/>
                <w:color w:val="000000"/>
                <w:kern w:val="0"/>
                <w:sz w:val="6"/>
                <w:szCs w:val="18"/>
              </w:rPr>
            </w:pPr>
          </w:p>
        </w:tc>
      </w:tr>
      <w:tr w:rsidR="006731AC" w:rsidRPr="00374B1C" w:rsidTr="006A2506">
        <w:trPr>
          <w:tblCellSpacing w:w="0" w:type="dxa"/>
        </w:trPr>
        <w:tc>
          <w:tcPr>
            <w:tcW w:w="0" w:type="auto"/>
            <w:tcMar>
              <w:top w:w="300" w:type="dxa"/>
              <w:left w:w="0" w:type="dxa"/>
              <w:bottom w:w="0" w:type="dxa"/>
              <w:right w:w="0" w:type="dxa"/>
            </w:tcMar>
            <w:vAlign w:val="center"/>
          </w:tcPr>
          <w:p w:rsidR="006731AC" w:rsidRPr="00374B1C" w:rsidRDefault="006731AC" w:rsidP="006A2506">
            <w:pPr>
              <w:widowControl/>
              <w:spacing w:before="100" w:beforeAutospacing="1" w:after="100" w:afterAutospacing="1" w:line="420" w:lineRule="atLeast"/>
              <w:jc w:val="left"/>
              <w:rPr>
                <w:rFonts w:ascii="宋体" w:hAnsi="宋体" w:cs="宋体" w:hint="eastAsia"/>
                <w:color w:val="000000"/>
                <w:kern w:val="0"/>
                <w:szCs w:val="21"/>
              </w:rPr>
            </w:pPr>
            <w:r w:rsidRPr="00374B1C">
              <w:rPr>
                <w:rFonts w:ascii="宋体" w:hAnsi="宋体" w:cs="宋体" w:hint="eastAsia"/>
                <w:color w:val="000000"/>
                <w:kern w:val="0"/>
                <w:szCs w:val="21"/>
              </w:rPr>
              <w:t xml:space="preserve">　　</w:t>
            </w:r>
            <w:r w:rsidRPr="00374B1C">
              <w:rPr>
                <w:rFonts w:ascii="宋体" w:hAnsi="宋体" w:cs="宋体" w:hint="eastAsia"/>
                <w:b/>
                <w:bCs/>
                <w:color w:val="000000"/>
                <w:kern w:val="0"/>
              </w:rPr>
              <w:t>一、背景信息</w:t>
            </w:r>
          </w:p>
          <w:p w:rsidR="006731AC" w:rsidRPr="00374B1C" w:rsidRDefault="006731AC" w:rsidP="006A2506">
            <w:pPr>
              <w:widowControl/>
              <w:spacing w:before="100" w:beforeAutospacing="1" w:after="100" w:afterAutospacing="1" w:line="420" w:lineRule="atLeast"/>
              <w:jc w:val="left"/>
              <w:rPr>
                <w:rFonts w:ascii="宋体" w:hAnsi="宋体" w:cs="宋体" w:hint="eastAsia"/>
                <w:color w:val="000000"/>
                <w:kern w:val="0"/>
                <w:szCs w:val="21"/>
              </w:rPr>
            </w:pPr>
            <w:r w:rsidRPr="00374B1C">
              <w:rPr>
                <w:rFonts w:ascii="宋体" w:hAnsi="宋体" w:cs="宋体" w:hint="eastAsia"/>
                <w:color w:val="000000"/>
                <w:kern w:val="0"/>
                <w:szCs w:val="21"/>
              </w:rPr>
              <w:t xml:space="preserve">　　近日，台湾地区食药署发布消息，通报越南生蚝产品检出肠炎弧菌及沙门氏菌。这两种菌对消费者有什么样的危害，国内外有何标准要求，怎样防控风险，本期将为您解读。</w:t>
            </w:r>
          </w:p>
          <w:p w:rsidR="006731AC" w:rsidRPr="00374B1C" w:rsidRDefault="006731AC" w:rsidP="006A2506">
            <w:pPr>
              <w:widowControl/>
              <w:spacing w:before="100" w:beforeAutospacing="1" w:after="100" w:afterAutospacing="1" w:line="420" w:lineRule="atLeast"/>
              <w:jc w:val="left"/>
              <w:rPr>
                <w:rFonts w:ascii="宋体" w:hAnsi="宋体" w:cs="宋体" w:hint="eastAsia"/>
                <w:color w:val="000000"/>
                <w:kern w:val="0"/>
                <w:szCs w:val="21"/>
              </w:rPr>
            </w:pPr>
            <w:r w:rsidRPr="00374B1C">
              <w:rPr>
                <w:rFonts w:ascii="宋体" w:hAnsi="宋体" w:cs="宋体" w:hint="eastAsia"/>
                <w:color w:val="000000"/>
                <w:kern w:val="0"/>
                <w:szCs w:val="21"/>
              </w:rPr>
              <w:t xml:space="preserve">　　</w:t>
            </w:r>
            <w:r w:rsidRPr="00374B1C">
              <w:rPr>
                <w:rFonts w:ascii="宋体" w:hAnsi="宋体" w:cs="宋体" w:hint="eastAsia"/>
                <w:b/>
                <w:bCs/>
                <w:color w:val="000000"/>
                <w:kern w:val="0"/>
              </w:rPr>
              <w:t>二、专家观点</w:t>
            </w:r>
          </w:p>
          <w:p w:rsidR="006731AC" w:rsidRPr="00374B1C" w:rsidRDefault="006731AC" w:rsidP="006A2506">
            <w:pPr>
              <w:widowControl/>
              <w:spacing w:before="100" w:beforeAutospacing="1" w:after="100" w:afterAutospacing="1" w:line="420" w:lineRule="atLeast"/>
              <w:jc w:val="left"/>
              <w:rPr>
                <w:rFonts w:ascii="宋体" w:hAnsi="宋体" w:cs="宋体" w:hint="eastAsia"/>
                <w:color w:val="000000"/>
                <w:kern w:val="0"/>
                <w:szCs w:val="21"/>
              </w:rPr>
            </w:pPr>
            <w:r w:rsidRPr="00374B1C">
              <w:rPr>
                <w:rFonts w:ascii="宋体" w:hAnsi="宋体" w:cs="宋体" w:hint="eastAsia"/>
                <w:color w:val="000000"/>
                <w:kern w:val="0"/>
                <w:szCs w:val="21"/>
              </w:rPr>
              <w:t xml:space="preserve">　　（一）肠炎弧菌（副溶血性弧菌）和沙门氏菌的致病性应重视。</w:t>
            </w:r>
            <w:r w:rsidRPr="00374B1C">
              <w:rPr>
                <w:rFonts w:ascii="宋体" w:hAnsi="宋体" w:cs="宋体" w:hint="eastAsia"/>
                <w:color w:val="000000"/>
                <w:kern w:val="0"/>
                <w:sz w:val="18"/>
                <w:szCs w:val="18"/>
              </w:rPr>
              <w:br/>
            </w:r>
            <w:r w:rsidRPr="00374B1C">
              <w:rPr>
                <w:rFonts w:ascii="宋体" w:hAnsi="宋体" w:cs="宋体" w:hint="eastAsia"/>
                <w:color w:val="000000"/>
                <w:kern w:val="0"/>
                <w:szCs w:val="21"/>
              </w:rPr>
              <w:t xml:space="preserve">　　肠炎弧菌（</w:t>
            </w:r>
            <w:proofErr w:type="spellStart"/>
            <w:r w:rsidRPr="00374B1C">
              <w:rPr>
                <w:rFonts w:ascii="宋体" w:hAnsi="宋体" w:cs="宋体" w:hint="eastAsia"/>
                <w:color w:val="000000"/>
                <w:kern w:val="0"/>
                <w:szCs w:val="21"/>
              </w:rPr>
              <w:t>Vibrio</w:t>
            </w:r>
            <w:proofErr w:type="spellEnd"/>
            <w:r w:rsidRPr="00374B1C">
              <w:rPr>
                <w:rFonts w:ascii="宋体" w:hAnsi="宋体" w:cs="宋体" w:hint="eastAsia"/>
                <w:color w:val="000000"/>
                <w:kern w:val="0"/>
                <w:szCs w:val="21"/>
              </w:rPr>
              <w:t xml:space="preserve"> </w:t>
            </w:r>
            <w:proofErr w:type="spellStart"/>
            <w:r w:rsidRPr="00374B1C">
              <w:rPr>
                <w:rFonts w:ascii="宋体" w:hAnsi="宋体" w:cs="宋体" w:hint="eastAsia"/>
                <w:color w:val="000000"/>
                <w:kern w:val="0"/>
                <w:szCs w:val="21"/>
              </w:rPr>
              <w:t>parahaemolyticus</w:t>
            </w:r>
            <w:proofErr w:type="spellEnd"/>
            <w:r w:rsidRPr="00374B1C">
              <w:rPr>
                <w:rFonts w:ascii="宋体" w:hAnsi="宋体" w:cs="宋体" w:hint="eastAsia"/>
                <w:color w:val="000000"/>
                <w:kern w:val="0"/>
                <w:szCs w:val="21"/>
              </w:rPr>
              <w:t>），亦称副溶血性弧菌，是一种嗜盐性的革兰氏阴性短杆菌，属于弧菌科弧菌属。副溶血性弧菌可以产生耐热直接溶血素（TDH）或TDH相关溶血素（TRH），这是副溶血性弧菌的主要毒力因子。该菌在环境中的分布呈明显的季节性，与温度直接相关，夏秋季为该菌的高发季节。</w:t>
            </w:r>
            <w:r w:rsidRPr="00374B1C">
              <w:rPr>
                <w:rFonts w:ascii="宋体" w:hAnsi="宋体" w:cs="宋体" w:hint="eastAsia"/>
                <w:color w:val="000000"/>
                <w:kern w:val="0"/>
                <w:sz w:val="18"/>
                <w:szCs w:val="18"/>
              </w:rPr>
              <w:br/>
            </w:r>
            <w:r w:rsidRPr="00374B1C">
              <w:rPr>
                <w:rFonts w:ascii="宋体" w:hAnsi="宋体" w:cs="宋体" w:hint="eastAsia"/>
                <w:color w:val="000000"/>
                <w:kern w:val="0"/>
                <w:szCs w:val="21"/>
              </w:rPr>
              <w:t xml:space="preserve">　　沙门氏菌（Salmonella）是一类危害人和动物健康的重要致病菌,其菌属型别繁多, 抗原复杂，其中最为常见的是肠炎沙门氏菌、鼠伤寒沙门氏菌和猪霍乱沙门氏菌。感染人类的沙门氏菌中99%为肠炎沙门氏菌，该菌是一种兼性厌氧、无芽胞、无荚膜的革兰氏阴性菌。</w:t>
            </w:r>
          </w:p>
          <w:p w:rsidR="006731AC" w:rsidRPr="00374B1C" w:rsidRDefault="006731AC" w:rsidP="006A2506">
            <w:pPr>
              <w:widowControl/>
              <w:spacing w:before="100" w:beforeAutospacing="1" w:after="100" w:afterAutospacing="1" w:line="420" w:lineRule="atLeast"/>
              <w:jc w:val="left"/>
              <w:rPr>
                <w:rFonts w:ascii="宋体" w:hAnsi="宋体" w:cs="宋体" w:hint="eastAsia"/>
                <w:color w:val="000000"/>
                <w:kern w:val="0"/>
                <w:szCs w:val="21"/>
              </w:rPr>
            </w:pPr>
            <w:r w:rsidRPr="00374B1C">
              <w:rPr>
                <w:rFonts w:ascii="宋体" w:hAnsi="宋体" w:cs="宋体" w:hint="eastAsia"/>
                <w:color w:val="000000"/>
                <w:kern w:val="0"/>
                <w:szCs w:val="21"/>
              </w:rPr>
              <w:t xml:space="preserve">　　（二）副溶血性弧菌和沙门氏菌的感染症状主要是引起肠胃炎。</w:t>
            </w:r>
            <w:r w:rsidRPr="00374B1C">
              <w:rPr>
                <w:rFonts w:ascii="宋体" w:hAnsi="宋体" w:cs="宋体" w:hint="eastAsia"/>
                <w:color w:val="000000"/>
                <w:kern w:val="0"/>
                <w:sz w:val="18"/>
                <w:szCs w:val="18"/>
              </w:rPr>
              <w:br/>
            </w:r>
            <w:r w:rsidRPr="00374B1C">
              <w:rPr>
                <w:rFonts w:ascii="宋体" w:hAnsi="宋体" w:cs="宋体" w:hint="eastAsia"/>
                <w:color w:val="000000"/>
                <w:kern w:val="0"/>
                <w:szCs w:val="21"/>
              </w:rPr>
              <w:t xml:space="preserve">　　副溶血性弧菌有侵袭作用，其产生的TDH和TRH的抗原性和免疫性相似，皆有溶血活性和肠毒素作用，可导致肠胃肿胀、充血和肠液潴留，引起腹泻。患者体质、免疫力不同，临床表现轻重不一。近年来国内报道的副溶血弧菌食物中毒，临床表现可呈典型、胃肠炎型、菌痢型、中毒性休克型或少见的慢性肠炎型，病程1至6日不等，一般恢复较快。</w:t>
            </w:r>
            <w:r w:rsidRPr="00374B1C">
              <w:rPr>
                <w:rFonts w:ascii="宋体" w:hAnsi="宋体" w:cs="宋体" w:hint="eastAsia"/>
                <w:color w:val="000000"/>
                <w:kern w:val="0"/>
                <w:sz w:val="18"/>
                <w:szCs w:val="18"/>
              </w:rPr>
              <w:br/>
            </w:r>
            <w:r w:rsidRPr="00374B1C">
              <w:rPr>
                <w:rFonts w:ascii="宋体" w:hAnsi="宋体" w:cs="宋体" w:hint="eastAsia"/>
                <w:color w:val="000000"/>
                <w:kern w:val="0"/>
                <w:szCs w:val="21"/>
              </w:rPr>
              <w:t xml:space="preserve">　　沙门氏菌引起的急性胃肠炎是由于肠多核白细胞（PMN）聚集导致的粘膜水肿和感染，症状多发生在细菌感染后的6-72小时，最长持续一周，可自行恢复。在北美，沙门氏菌是食物传播疾病最常见的原因之一，无免疫应答者和婴幼儿是严重肠炎的易感人群，可能导致系统感染甚至死亡。</w:t>
            </w:r>
          </w:p>
          <w:p w:rsidR="006731AC" w:rsidRPr="00374B1C" w:rsidRDefault="006731AC" w:rsidP="006A2506">
            <w:pPr>
              <w:widowControl/>
              <w:spacing w:before="100" w:beforeAutospacing="1" w:after="100" w:afterAutospacing="1" w:line="420" w:lineRule="atLeast"/>
              <w:jc w:val="left"/>
              <w:rPr>
                <w:rFonts w:ascii="宋体" w:hAnsi="宋体" w:cs="宋体" w:hint="eastAsia"/>
                <w:color w:val="000000"/>
                <w:kern w:val="0"/>
                <w:szCs w:val="21"/>
              </w:rPr>
            </w:pPr>
            <w:r w:rsidRPr="00374B1C">
              <w:rPr>
                <w:rFonts w:ascii="宋体" w:hAnsi="宋体" w:cs="宋体" w:hint="eastAsia"/>
                <w:color w:val="000000"/>
                <w:kern w:val="0"/>
                <w:szCs w:val="21"/>
              </w:rPr>
              <w:t xml:space="preserve">　　（三）水产品容易被副溶血性弧菌和沙门氏菌感染。</w:t>
            </w:r>
            <w:r w:rsidRPr="00374B1C">
              <w:rPr>
                <w:rFonts w:ascii="宋体" w:hAnsi="宋体" w:cs="宋体" w:hint="eastAsia"/>
                <w:color w:val="000000"/>
                <w:kern w:val="0"/>
                <w:sz w:val="18"/>
                <w:szCs w:val="18"/>
              </w:rPr>
              <w:br/>
            </w:r>
            <w:r w:rsidRPr="00374B1C">
              <w:rPr>
                <w:rFonts w:ascii="宋体" w:hAnsi="宋体" w:cs="宋体" w:hint="eastAsia"/>
                <w:color w:val="000000"/>
                <w:kern w:val="0"/>
                <w:szCs w:val="21"/>
              </w:rPr>
              <w:lastRenderedPageBreak/>
              <w:t xml:space="preserve">　　副溶血性弧菌是一种食源性致病菌，多分布于河口、近岸海水及其沉积物中。许多水产品中含有副溶血性弧菌，如鳕鱼、沙丁鱼、鲭鱼、鲽鱼、文蛤、章鱼、虾、蟹、龙虾、小龙虾、扇贝和牡蛎等。沙门氏菌被认为是目前世界范围内最重要的食源性致病菌之一，肉类（尤其是禽肉）、蛋类及蛋制品、未经巴氏消毒的牛奶及奶制品等很多食品都与沙门氏菌病有关。近年来，虹鳟、以色列镜鲤、罗非鱼、大西洋鲑等鱼类和贝类甚至水体表面均有沙门氏菌的检出，应引起重视。</w:t>
            </w:r>
            <w:r w:rsidRPr="00374B1C">
              <w:rPr>
                <w:rFonts w:ascii="宋体" w:hAnsi="宋体" w:cs="宋体" w:hint="eastAsia"/>
                <w:color w:val="000000"/>
                <w:kern w:val="0"/>
                <w:sz w:val="18"/>
                <w:szCs w:val="18"/>
              </w:rPr>
              <w:br/>
            </w:r>
            <w:r w:rsidRPr="00374B1C">
              <w:rPr>
                <w:rFonts w:ascii="宋体" w:hAnsi="宋体" w:cs="宋体" w:hint="eastAsia"/>
                <w:color w:val="000000"/>
                <w:kern w:val="0"/>
                <w:szCs w:val="21"/>
              </w:rPr>
              <w:t xml:space="preserve">　　在本次台湾地区食药署通报的案例中，越南生蚝同时检出了副溶血性弧菌和沙门氏菌阳性，提示水产品尤其是生食水产品的致病菌污染应该引起高度重视。</w:t>
            </w:r>
          </w:p>
          <w:p w:rsidR="006731AC" w:rsidRPr="00374B1C" w:rsidRDefault="006731AC" w:rsidP="006A2506">
            <w:pPr>
              <w:widowControl/>
              <w:spacing w:before="100" w:beforeAutospacing="1" w:after="100" w:afterAutospacing="1" w:line="420" w:lineRule="atLeast"/>
              <w:jc w:val="left"/>
              <w:rPr>
                <w:rFonts w:ascii="宋体" w:hAnsi="宋体" w:cs="宋体" w:hint="eastAsia"/>
                <w:color w:val="000000"/>
                <w:kern w:val="0"/>
                <w:szCs w:val="21"/>
              </w:rPr>
            </w:pPr>
            <w:r w:rsidRPr="00374B1C">
              <w:rPr>
                <w:rFonts w:ascii="宋体" w:hAnsi="宋体" w:cs="宋体" w:hint="eastAsia"/>
                <w:color w:val="000000"/>
                <w:kern w:val="0"/>
                <w:szCs w:val="21"/>
              </w:rPr>
              <w:t xml:space="preserve">　　（四）国内外已制定水产品中副溶血性弧菌和沙门氏菌的限量标准。</w:t>
            </w:r>
            <w:r w:rsidRPr="00374B1C">
              <w:rPr>
                <w:rFonts w:ascii="宋体" w:hAnsi="宋体" w:cs="宋体" w:hint="eastAsia"/>
                <w:color w:val="000000"/>
                <w:kern w:val="0"/>
                <w:sz w:val="18"/>
                <w:szCs w:val="18"/>
              </w:rPr>
              <w:br/>
            </w:r>
            <w:r w:rsidRPr="00374B1C">
              <w:rPr>
                <w:rFonts w:ascii="宋体" w:hAnsi="宋体" w:cs="宋体" w:hint="eastAsia"/>
                <w:color w:val="000000"/>
                <w:kern w:val="0"/>
                <w:szCs w:val="21"/>
              </w:rPr>
              <w:t xml:space="preserve">　　国际食品微生物标准委员会（International Commission of Microbiological Specializations on Food，ICMSF）认为，只有携带毒力基因的副溶血性弧菌才会导致食物中毒，通常约5-7%的副溶血性弧菌携带毒力基因。水产品被副溶血性弧菌污染并不一定导致食源性疾病，只有副溶血性弧菌污染达到一定量的时候才会增加食源性疾病发生的几率。不同国家副溶血性弧菌标准限量不同。而沙门氏菌的致病力则较强，国际上通常要求在即食食品中不得检出。</w:t>
            </w:r>
            <w:r w:rsidRPr="00374B1C">
              <w:rPr>
                <w:rFonts w:ascii="宋体" w:hAnsi="宋体" w:cs="宋体" w:hint="eastAsia"/>
                <w:color w:val="000000"/>
                <w:kern w:val="0"/>
                <w:sz w:val="18"/>
                <w:szCs w:val="18"/>
              </w:rPr>
              <w:br/>
            </w:r>
            <w:r w:rsidRPr="00374B1C">
              <w:rPr>
                <w:rFonts w:ascii="宋体" w:hAnsi="宋体" w:cs="宋体" w:hint="eastAsia"/>
                <w:color w:val="000000"/>
                <w:kern w:val="0"/>
                <w:szCs w:val="21"/>
              </w:rPr>
              <w:t xml:space="preserve">　　我国《食品安全国家标准食品中致病菌限量》（GB29921-2013）中对即食的水产制品和水产调味品规定了副溶血性弧菌限量，具体为n=5，c=1，m=100MPN/g（</w:t>
            </w:r>
            <w:proofErr w:type="spellStart"/>
            <w:r w:rsidRPr="00374B1C">
              <w:rPr>
                <w:rFonts w:ascii="宋体" w:hAnsi="宋体" w:cs="宋体" w:hint="eastAsia"/>
                <w:color w:val="000000"/>
                <w:kern w:val="0"/>
                <w:szCs w:val="21"/>
              </w:rPr>
              <w:t>mL</w:t>
            </w:r>
            <w:proofErr w:type="spellEnd"/>
            <w:r w:rsidRPr="00374B1C">
              <w:rPr>
                <w:rFonts w:ascii="宋体" w:hAnsi="宋体" w:cs="宋体" w:hint="eastAsia"/>
                <w:color w:val="000000"/>
                <w:kern w:val="0"/>
                <w:szCs w:val="21"/>
              </w:rPr>
              <w:t>），M=1000MPN/g（</w:t>
            </w:r>
            <w:proofErr w:type="spellStart"/>
            <w:r w:rsidRPr="00374B1C">
              <w:rPr>
                <w:rFonts w:ascii="宋体" w:hAnsi="宋体" w:cs="宋体" w:hint="eastAsia"/>
                <w:color w:val="000000"/>
                <w:kern w:val="0"/>
                <w:szCs w:val="21"/>
              </w:rPr>
              <w:t>mL</w:t>
            </w:r>
            <w:proofErr w:type="spellEnd"/>
            <w:r w:rsidRPr="00374B1C">
              <w:rPr>
                <w:rFonts w:ascii="宋体" w:hAnsi="宋体" w:cs="宋体" w:hint="eastAsia"/>
                <w:color w:val="000000"/>
                <w:kern w:val="0"/>
                <w:szCs w:val="21"/>
              </w:rPr>
              <w:t>）；对即食的肉制品、水产品、蛋制品等所有11类食品规定的沙门氏菌限量规定为n=5，c=0，m=0。此次台湾地区食药署通报的越南生蚝检出副溶血性弧菌为2100 MPN/g，沙门氏菌阳性，如果生食该污染生蚝引发食源性疾病的风险非常高。</w:t>
            </w:r>
          </w:p>
          <w:p w:rsidR="006731AC" w:rsidRPr="00374B1C" w:rsidRDefault="006731AC" w:rsidP="006A2506">
            <w:pPr>
              <w:widowControl/>
              <w:spacing w:before="100" w:beforeAutospacing="1" w:after="100" w:afterAutospacing="1" w:line="420" w:lineRule="atLeast"/>
              <w:jc w:val="left"/>
              <w:rPr>
                <w:rFonts w:ascii="宋体" w:hAnsi="宋体" w:cs="宋体" w:hint="eastAsia"/>
                <w:color w:val="000000"/>
                <w:kern w:val="0"/>
                <w:szCs w:val="21"/>
              </w:rPr>
            </w:pPr>
            <w:r w:rsidRPr="00374B1C">
              <w:rPr>
                <w:rFonts w:ascii="宋体" w:hAnsi="宋体" w:cs="宋体" w:hint="eastAsia"/>
                <w:color w:val="000000"/>
                <w:kern w:val="0"/>
                <w:szCs w:val="21"/>
              </w:rPr>
              <w:t xml:space="preserve">　　</w:t>
            </w:r>
            <w:r w:rsidRPr="00374B1C">
              <w:rPr>
                <w:rFonts w:ascii="宋体" w:hAnsi="宋体" w:cs="宋体" w:hint="eastAsia"/>
                <w:b/>
                <w:bCs/>
                <w:color w:val="000000"/>
                <w:kern w:val="0"/>
              </w:rPr>
              <w:t>三、专家建议</w:t>
            </w:r>
          </w:p>
          <w:p w:rsidR="006731AC" w:rsidRPr="00374B1C" w:rsidRDefault="006731AC" w:rsidP="006A2506">
            <w:pPr>
              <w:widowControl/>
              <w:spacing w:before="100" w:beforeAutospacing="1" w:after="100" w:afterAutospacing="1" w:line="420" w:lineRule="atLeast"/>
              <w:jc w:val="left"/>
              <w:rPr>
                <w:rFonts w:ascii="宋体" w:hAnsi="宋体" w:cs="宋体" w:hint="eastAsia"/>
                <w:color w:val="000000"/>
                <w:kern w:val="0"/>
                <w:szCs w:val="21"/>
              </w:rPr>
            </w:pPr>
            <w:r w:rsidRPr="00374B1C">
              <w:rPr>
                <w:rFonts w:ascii="宋体" w:hAnsi="宋体" w:cs="宋体" w:hint="eastAsia"/>
                <w:color w:val="000000"/>
                <w:kern w:val="0"/>
                <w:szCs w:val="21"/>
              </w:rPr>
              <w:t xml:space="preserve">　　（一）严格水产品源头污染控制，确保养殖环境卫生。</w:t>
            </w:r>
            <w:r w:rsidRPr="00374B1C">
              <w:rPr>
                <w:rFonts w:ascii="宋体" w:hAnsi="宋体" w:cs="宋体" w:hint="eastAsia"/>
                <w:color w:val="000000"/>
                <w:kern w:val="0"/>
                <w:sz w:val="18"/>
                <w:szCs w:val="18"/>
              </w:rPr>
              <w:br/>
            </w:r>
            <w:r w:rsidRPr="00374B1C">
              <w:rPr>
                <w:rFonts w:ascii="宋体" w:hAnsi="宋体" w:cs="宋体" w:hint="eastAsia"/>
                <w:color w:val="000000"/>
                <w:kern w:val="0"/>
                <w:szCs w:val="21"/>
              </w:rPr>
              <w:t xml:space="preserve">　　防止水产品源头污染是保证水产品质量安全的关键环节。水体中的致病微生物主要来自陆基化粪池、生活污水排放以及游船污水排放。致病微生物对不良环境条件的抵御能力较强，这些微生物一旦释放到环境中，就会大面积扩散，并且在外界环境中长时间生存，导致致病微生物污染鱼类和贝类养殖场的风险加大。因此，应选择洁净区进行养殖，严格控制污染。</w:t>
            </w:r>
          </w:p>
          <w:p w:rsidR="006731AC" w:rsidRPr="00374B1C" w:rsidRDefault="006731AC" w:rsidP="006A2506">
            <w:pPr>
              <w:widowControl/>
              <w:spacing w:before="100" w:beforeAutospacing="1" w:after="100" w:afterAutospacing="1" w:line="420" w:lineRule="atLeast"/>
              <w:jc w:val="left"/>
              <w:rPr>
                <w:rFonts w:ascii="宋体" w:hAnsi="宋体" w:cs="宋体" w:hint="eastAsia"/>
                <w:color w:val="000000"/>
                <w:kern w:val="0"/>
                <w:szCs w:val="21"/>
              </w:rPr>
            </w:pPr>
            <w:r w:rsidRPr="00374B1C">
              <w:rPr>
                <w:rFonts w:ascii="宋体" w:hAnsi="宋体" w:cs="宋体" w:hint="eastAsia"/>
                <w:color w:val="000000"/>
                <w:kern w:val="0"/>
                <w:szCs w:val="21"/>
              </w:rPr>
              <w:t xml:space="preserve">　　（二）强化水产品市场的监管，加强贝类产品的质量控制。</w:t>
            </w:r>
            <w:r w:rsidRPr="00374B1C">
              <w:rPr>
                <w:rFonts w:ascii="宋体" w:hAnsi="宋体" w:cs="宋体" w:hint="eastAsia"/>
                <w:color w:val="000000"/>
                <w:kern w:val="0"/>
                <w:sz w:val="18"/>
                <w:szCs w:val="18"/>
              </w:rPr>
              <w:br/>
            </w:r>
            <w:r w:rsidRPr="00374B1C">
              <w:rPr>
                <w:rFonts w:ascii="宋体" w:hAnsi="宋体" w:cs="宋体" w:hint="eastAsia"/>
                <w:color w:val="000000"/>
                <w:kern w:val="0"/>
                <w:szCs w:val="21"/>
              </w:rPr>
              <w:t xml:space="preserve">　　应建立从生产到销售的全链条可追溯的水产品质量安全可追溯机制，一旦在产品中发现致病微生物的存在，可迅速召回可疑产品，并对其产地进行监控。贝类产品上市前需进行净</w:t>
            </w:r>
            <w:r w:rsidRPr="00374B1C">
              <w:rPr>
                <w:rFonts w:ascii="宋体" w:hAnsi="宋体" w:cs="宋体" w:hint="eastAsia"/>
                <w:color w:val="000000"/>
                <w:kern w:val="0"/>
                <w:szCs w:val="21"/>
              </w:rPr>
              <w:lastRenderedPageBreak/>
              <w:t>化，尽量除去或减少肠道致病微生物。还应强化对进口水产品副溶血弧菌和沙门氏菌的监控。</w:t>
            </w:r>
          </w:p>
          <w:p w:rsidR="006731AC" w:rsidRPr="00374B1C" w:rsidRDefault="006731AC" w:rsidP="006A2506">
            <w:pPr>
              <w:widowControl/>
              <w:spacing w:before="100" w:beforeAutospacing="1" w:after="100" w:afterAutospacing="1" w:line="420" w:lineRule="atLeast"/>
              <w:jc w:val="left"/>
              <w:rPr>
                <w:rFonts w:ascii="宋体" w:hAnsi="宋体" w:cs="宋体"/>
                <w:color w:val="000000"/>
                <w:kern w:val="0"/>
                <w:szCs w:val="21"/>
              </w:rPr>
            </w:pPr>
            <w:r w:rsidRPr="00374B1C">
              <w:rPr>
                <w:rFonts w:ascii="宋体" w:hAnsi="宋体" w:cs="宋体" w:hint="eastAsia"/>
                <w:color w:val="000000"/>
                <w:kern w:val="0"/>
                <w:szCs w:val="21"/>
              </w:rPr>
              <w:t xml:space="preserve">　　（三）提高消费者水产品食用安全意识，改善食用方式。</w:t>
            </w:r>
            <w:r w:rsidRPr="00374B1C">
              <w:rPr>
                <w:rFonts w:ascii="宋体" w:hAnsi="宋体" w:cs="宋体" w:hint="eastAsia"/>
                <w:color w:val="000000"/>
                <w:kern w:val="0"/>
                <w:sz w:val="18"/>
                <w:szCs w:val="18"/>
              </w:rPr>
              <w:br/>
            </w:r>
            <w:r w:rsidRPr="00374B1C">
              <w:rPr>
                <w:rFonts w:ascii="宋体" w:hAnsi="宋体" w:cs="宋体" w:hint="eastAsia"/>
                <w:color w:val="000000"/>
                <w:kern w:val="0"/>
                <w:szCs w:val="21"/>
              </w:rPr>
              <w:t xml:space="preserve">　　消费者应尽量减少生食水产品，购买水产品时应通过正规可靠渠道购买并保存凭证。加工过程应生熟分开、防止交叉污染。消费者在选购新鲜生食水产品后，若不能立即食用，务必将其置于冰箱中贮存，以延缓微生物生长。此外消费者在外食用生食动物性水产品时，应注意观察餐饮企业是否设置专用操作加工间，查看餐饮企业是否取得食品药品监督管理部门颁发的经营许可证书。</w:t>
            </w:r>
          </w:p>
        </w:tc>
      </w:tr>
    </w:tbl>
    <w:p w:rsidR="00317912" w:rsidRPr="006731AC" w:rsidRDefault="00317912"/>
    <w:sectPr w:rsidR="00317912" w:rsidRPr="006731AC" w:rsidSect="0031791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731AC"/>
    <w:rsid w:val="00317912"/>
    <w:rsid w:val="006731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31A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731AC"/>
    <w:rPr>
      <w:sz w:val="18"/>
      <w:szCs w:val="18"/>
    </w:rPr>
  </w:style>
  <w:style w:type="character" w:customStyle="1" w:styleId="Char">
    <w:name w:val="批注框文本 Char"/>
    <w:basedOn w:val="a0"/>
    <w:link w:val="a3"/>
    <w:uiPriority w:val="99"/>
    <w:semiHidden/>
    <w:rsid w:val="006731AC"/>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are.v.t.qq.com/index.php?c=share&amp;a=index&amp;title=%E5%85%B3%E4%BA%8E%E7%94%9F%E8%9A%9D%E5%BE%AE%E7%94%9F%E7%89%A9%E6%B1%A1%E6%9F%93%E7%9A%84%E9%A3%8E%E9%99%A9%E8%A7%A3%E6%9E%90&amp;url=http%3A%2F%2Fwww.sda.gov.cn%2FWS01%2FCL1679%2F167800.html" TargetMode="Externa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www.sda.gov.cn/WS01/wbppcss/ewm.html?url=http%3A%2F%2Fwww.sda.gov.cn%2FWS01%2FCL1679%2F167800.html&amp;title=%E5%85%B3%E4%BA%8E%E7%94%9F%E8%9A%9D%E5%BE%AE%E7%94%9F%E7%89%A9%E6%B1%A1%E6%9F%93%E7%9A%84%E9%A3%8E%E9%99%A9%E8%A7%A3%E6%9E%9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v.t.sina.com.cn/share/share.php?title=%E5%85%B3%E4%BA%8E%E7%94%9F%E8%9A%9D%E5%BE%AE%E7%94%9F%E7%89%A9%E6%B1%A1%E6%9F%93%E7%9A%84%E9%A3%8E%E9%99%A9%E8%A7%A3%E6%9E%90&amp;url=http%3A%2F%2Fwww.sda.gov.cn%2FWS01%2FCL1679%2F167800.html"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ns.qzone.qq.com/cgi-bin/qzshare/cgi_qzshare_onekey?url=http%3A%2F%2Fwww.sda.gov.cn%2FWS01%2FCL1679%2F167800.html&amp;title=%E5%85%B3%E4%BA%8E%E7%94%9F%E8%9A%9D%E5%BE%AE%E7%94%9F%E7%89%A9%E6%B1%A1%E6%9F%93%E7%9A%84%E9%A3%8E%E9%99%A9%E8%A7%A3%E6%9E%90&amp;api_key="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443</Words>
  <Characters>2527</Characters>
  <Application>Microsoft Office Word</Application>
  <DocSecurity>0</DocSecurity>
  <Lines>21</Lines>
  <Paragraphs>5</Paragraphs>
  <ScaleCrop>false</ScaleCrop>
  <Company>china</Company>
  <LinksUpToDate>false</LinksUpToDate>
  <CharactersWithSpaces>2965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2017-05-07T06:08:00Z</dcterms:created>
  <dcterms:modified xsi:type="dcterms:W3CDTF">2017-05-07T06:08:00Z</dcterms:modified>
</cp:coreProperties>
</file>