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000"/>
      </w:tblPr>
      <w:tblGrid>
        <w:gridCol w:w="8306"/>
      </w:tblGrid>
      <w:tr w:rsidR="00D4246F" w:rsidRPr="00374B1C" w:rsidTr="006A2506">
        <w:trPr>
          <w:tblCellSpacing w:w="0" w:type="dxa"/>
        </w:trPr>
        <w:tc>
          <w:tcPr>
            <w:tcW w:w="0" w:type="auto"/>
            <w:tcMar>
              <w:top w:w="30" w:type="dxa"/>
              <w:left w:w="0" w:type="dxa"/>
              <w:bottom w:w="150" w:type="dxa"/>
              <w:right w:w="0" w:type="dxa"/>
            </w:tcMar>
            <w:vAlign w:val="center"/>
          </w:tcPr>
          <w:p w:rsidR="00D4246F" w:rsidRPr="00374B1C" w:rsidRDefault="00D4246F" w:rsidP="006A2506">
            <w:pPr>
              <w:widowControl/>
              <w:spacing w:line="495" w:lineRule="atLeast"/>
              <w:jc w:val="center"/>
              <w:rPr>
                <w:rFonts w:ascii="宋体" w:hAnsi="宋体" w:cs="宋体"/>
                <w:b/>
                <w:bCs/>
                <w:color w:val="093A96"/>
                <w:kern w:val="0"/>
                <w:sz w:val="33"/>
                <w:szCs w:val="33"/>
              </w:rPr>
            </w:pPr>
            <w:r w:rsidRPr="00374B1C">
              <w:rPr>
                <w:rFonts w:ascii="宋体" w:hAnsi="宋体" w:cs="宋体" w:hint="eastAsia"/>
                <w:b/>
                <w:bCs/>
                <w:color w:val="093A96"/>
                <w:kern w:val="0"/>
                <w:sz w:val="33"/>
                <w:szCs w:val="33"/>
              </w:rPr>
              <w:t>关于预防亚硝酸盐中毒的消费警示</w:t>
            </w:r>
          </w:p>
        </w:tc>
      </w:tr>
      <w:tr w:rsidR="00D4246F" w:rsidRPr="00374B1C" w:rsidTr="006A2506">
        <w:trPr>
          <w:tblCellSpacing w:w="0" w:type="dxa"/>
        </w:trPr>
        <w:tc>
          <w:tcPr>
            <w:tcW w:w="0" w:type="auto"/>
            <w:vAlign w:val="center"/>
          </w:tcPr>
          <w:p w:rsidR="00D4246F" w:rsidRPr="00374B1C" w:rsidRDefault="00D4246F" w:rsidP="006A2506">
            <w:pPr>
              <w:widowControl/>
              <w:spacing w:line="540" w:lineRule="atLeast"/>
              <w:jc w:val="center"/>
              <w:rPr>
                <w:rFonts w:ascii="宋体" w:hAnsi="宋体" w:cs="宋体"/>
                <w:b/>
                <w:bCs/>
                <w:color w:val="093A96"/>
                <w:kern w:val="0"/>
                <w:sz w:val="27"/>
                <w:szCs w:val="27"/>
              </w:rPr>
            </w:pPr>
          </w:p>
        </w:tc>
      </w:tr>
      <w:tr w:rsidR="00D4246F" w:rsidRPr="00374B1C" w:rsidTr="006A2506">
        <w:trPr>
          <w:tblCellSpacing w:w="0" w:type="dxa"/>
        </w:trPr>
        <w:tc>
          <w:tcPr>
            <w:tcW w:w="0" w:type="auto"/>
            <w:vAlign w:val="center"/>
          </w:tcPr>
          <w:tbl>
            <w:tblPr>
              <w:tblW w:w="0" w:type="auto"/>
              <w:jc w:val="right"/>
              <w:tblCellSpacing w:w="15" w:type="dxa"/>
              <w:tblCellMar>
                <w:left w:w="0" w:type="dxa"/>
                <w:right w:w="0" w:type="dxa"/>
              </w:tblCellMar>
              <w:tblLook w:val="0000"/>
            </w:tblPr>
            <w:tblGrid>
              <w:gridCol w:w="1005"/>
              <w:gridCol w:w="2865"/>
            </w:tblGrid>
            <w:tr w:rsidR="00D4246F" w:rsidRPr="00374B1C" w:rsidTr="006A2506">
              <w:trPr>
                <w:tblCellSpacing w:w="15" w:type="dxa"/>
                <w:jc w:val="right"/>
              </w:trPr>
              <w:tc>
                <w:tcPr>
                  <w:tcW w:w="0" w:type="auto"/>
                  <w:tcMar>
                    <w:top w:w="60" w:type="dxa"/>
                    <w:left w:w="0" w:type="dxa"/>
                    <w:bottom w:w="0" w:type="dxa"/>
                    <w:right w:w="0" w:type="dxa"/>
                  </w:tcMar>
                  <w:vAlign w:val="center"/>
                </w:tcPr>
                <w:p w:rsidR="00D4246F" w:rsidRPr="00374B1C" w:rsidRDefault="00D4246F" w:rsidP="006A2506">
                  <w:pPr>
                    <w:widowControl/>
                    <w:spacing w:line="306" w:lineRule="atLeast"/>
                    <w:jc w:val="left"/>
                    <w:rPr>
                      <w:rFonts w:ascii="宋体" w:hAnsi="宋体" w:cs="宋体"/>
                      <w:kern w:val="0"/>
                      <w:sz w:val="18"/>
                      <w:szCs w:val="18"/>
                    </w:rPr>
                  </w:pPr>
                  <w:r>
                    <w:rPr>
                      <w:rFonts w:ascii="宋体" w:hAnsi="宋体" w:cs="宋体"/>
                      <w:noProof/>
                      <w:kern w:val="0"/>
                      <w:sz w:val="18"/>
                      <w:szCs w:val="18"/>
                    </w:rPr>
                    <w:drawing>
                      <wp:inline distT="0" distB="0" distL="0" distR="0">
                        <wp:extent cx="228600" cy="228600"/>
                        <wp:effectExtent l="19050" t="0" r="0" b="0"/>
                        <wp:docPr id="1" name="btnDown"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Down" descr="下载"/>
                                <pic:cNvPicPr>
                                  <a:picLocks noChangeAspect="1" noChangeArrowheads="1"/>
                                </pic:cNvPicPr>
                              </pic:nvPicPr>
                              <pic:blipFill>
                                <a:blip r:embed="rId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74B1C">
                    <w:rPr>
                      <w:rFonts w:ascii="宋体" w:hAnsi="宋体" w:cs="宋体" w:hint="eastAsia"/>
                      <w:kern w:val="0"/>
                      <w:sz w:val="18"/>
                    </w:rPr>
                    <w:t> </w:t>
                  </w:r>
                  <w:r>
                    <w:rPr>
                      <w:rFonts w:ascii="宋体" w:hAnsi="宋体" w:cs="宋体"/>
                      <w:noProof/>
                      <w:kern w:val="0"/>
                      <w:sz w:val="18"/>
                      <w:szCs w:val="18"/>
                    </w:rPr>
                    <w:drawing>
                      <wp:inline distT="0" distB="0" distL="0" distR="0">
                        <wp:extent cx="228600" cy="228600"/>
                        <wp:effectExtent l="19050" t="0" r="0" b="0"/>
                        <wp:docPr id="2" name="btnPrint" descr="打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Print" descr="打印"/>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tcPr>
                <w:p w:rsidR="00D4246F" w:rsidRPr="00374B1C" w:rsidRDefault="00D4246F" w:rsidP="006A2506">
                  <w:pPr>
                    <w:widowControl/>
                    <w:spacing w:line="306" w:lineRule="atLeast"/>
                    <w:jc w:val="left"/>
                    <w:rPr>
                      <w:rFonts w:ascii="宋体" w:hAnsi="宋体" w:cs="宋体"/>
                      <w:kern w:val="0"/>
                      <w:sz w:val="18"/>
                      <w:szCs w:val="18"/>
                    </w:rPr>
                  </w:pPr>
                  <w:r w:rsidRPr="00374B1C">
                    <w:rPr>
                      <w:rFonts w:ascii="宋体" w:hAnsi="宋体" w:cs="宋体" w:hint="eastAsia"/>
                      <w:kern w:val="0"/>
                      <w:sz w:val="18"/>
                      <w:szCs w:val="18"/>
                    </w:rPr>
                    <w:t>   </w:t>
                  </w:r>
                  <w:r w:rsidRPr="00374B1C">
                    <w:rPr>
                      <w:rFonts w:ascii="宋体" w:hAnsi="宋体" w:cs="宋体" w:hint="eastAsia"/>
                      <w:kern w:val="0"/>
                      <w:sz w:val="18"/>
                    </w:rPr>
                    <w:t> </w:t>
                  </w:r>
                  <w:hyperlink r:id="rId6" w:tgtFrame="_blank" w:history="1">
                    <w:r>
                      <w:rPr>
                        <w:rFonts w:ascii="宋体" w:hAnsi="宋体" w:cs="宋体"/>
                        <w:noProof/>
                        <w:color w:val="3A3A3A"/>
                        <w:kern w:val="0"/>
                        <w:sz w:val="18"/>
                        <w:szCs w:val="18"/>
                      </w:rPr>
                      <w:drawing>
                        <wp:inline distT="0" distB="0" distL="0" distR="0">
                          <wp:extent cx="228600" cy="228600"/>
                          <wp:effectExtent l="19050" t="0" r="0" b="0"/>
                          <wp:docPr id="3" name="图片 3" descr="分享到新浪微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分享到新浪微博"/>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74B1C">
                      <w:rPr>
                        <w:rFonts w:ascii="宋体" w:hAnsi="宋体" w:cs="宋体" w:hint="eastAsia"/>
                        <w:color w:val="3A3A3A"/>
                        <w:kern w:val="0"/>
                        <w:sz w:val="18"/>
                      </w:rPr>
                      <w:t> </w:t>
                    </w:r>
                  </w:hyperlink>
                  <w:hyperlink r:id="rId8" w:tgtFrame="_blank" w:history="1">
                    <w:r>
                      <w:rPr>
                        <w:rFonts w:ascii="宋体" w:hAnsi="宋体" w:cs="宋体"/>
                        <w:noProof/>
                        <w:color w:val="3A3A3A"/>
                        <w:kern w:val="0"/>
                        <w:sz w:val="18"/>
                        <w:szCs w:val="18"/>
                      </w:rPr>
                      <w:drawing>
                        <wp:inline distT="0" distB="0" distL="0" distR="0">
                          <wp:extent cx="228600" cy="228600"/>
                          <wp:effectExtent l="19050" t="0" r="0" b="0"/>
                          <wp:docPr id="4" name="图片 4" descr="分享到腾讯微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分享到腾讯微博"/>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74B1C">
                      <w:rPr>
                        <w:rFonts w:ascii="宋体" w:hAnsi="宋体" w:cs="宋体" w:hint="eastAsia"/>
                        <w:color w:val="3A3A3A"/>
                        <w:kern w:val="0"/>
                        <w:sz w:val="18"/>
                      </w:rPr>
                      <w:t> </w:t>
                    </w:r>
                  </w:hyperlink>
                  <w:hyperlink r:id="rId10" w:tgtFrame="_blank" w:history="1">
                    <w:r>
                      <w:rPr>
                        <w:rFonts w:ascii="宋体" w:hAnsi="宋体" w:cs="宋体"/>
                        <w:noProof/>
                        <w:color w:val="3A3A3A"/>
                        <w:kern w:val="0"/>
                        <w:sz w:val="18"/>
                        <w:szCs w:val="18"/>
                      </w:rPr>
                      <w:drawing>
                        <wp:inline distT="0" distB="0" distL="0" distR="0">
                          <wp:extent cx="228600" cy="228600"/>
                          <wp:effectExtent l="19050" t="0" r="0" b="0"/>
                          <wp:docPr id="5" name="图片 5" descr="分享到QQ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分享到QQ空间"/>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74B1C">
                      <w:rPr>
                        <w:rFonts w:ascii="宋体" w:hAnsi="宋体" w:cs="宋体" w:hint="eastAsia"/>
                        <w:color w:val="3A3A3A"/>
                        <w:kern w:val="0"/>
                        <w:sz w:val="18"/>
                      </w:rPr>
                      <w:t> </w:t>
                    </w:r>
                  </w:hyperlink>
                  <w:r>
                    <w:rPr>
                      <w:rFonts w:ascii="宋体" w:hAnsi="宋体" w:cs="宋体"/>
                      <w:noProof/>
                      <w:color w:val="3A3A3A"/>
                      <w:kern w:val="0"/>
                      <w:sz w:val="18"/>
                      <w:szCs w:val="18"/>
                    </w:rPr>
                    <w:drawing>
                      <wp:inline distT="0" distB="0" distL="0" distR="0">
                        <wp:extent cx="228600" cy="228600"/>
                        <wp:effectExtent l="19050" t="0" r="0" b="0"/>
                        <wp:docPr id="6" name="图片 6" descr="分享到微信">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分享到微信"/>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D4246F" w:rsidRPr="00374B1C" w:rsidRDefault="00D4246F" w:rsidP="006A2506">
            <w:pPr>
              <w:widowControl/>
              <w:spacing w:line="306" w:lineRule="atLeast"/>
              <w:jc w:val="right"/>
              <w:rPr>
                <w:rFonts w:ascii="宋体" w:hAnsi="宋体" w:cs="宋体"/>
                <w:kern w:val="0"/>
                <w:sz w:val="18"/>
                <w:szCs w:val="18"/>
              </w:rPr>
            </w:pPr>
          </w:p>
        </w:tc>
      </w:tr>
      <w:tr w:rsidR="00D4246F" w:rsidRPr="00374B1C" w:rsidTr="006A2506">
        <w:trPr>
          <w:tblCellSpacing w:w="0" w:type="dxa"/>
        </w:trPr>
        <w:tc>
          <w:tcPr>
            <w:tcW w:w="0" w:type="auto"/>
            <w:tcMar>
              <w:top w:w="120" w:type="dxa"/>
              <w:left w:w="0" w:type="dxa"/>
              <w:bottom w:w="0" w:type="dxa"/>
              <w:right w:w="0" w:type="dxa"/>
            </w:tcMar>
            <w:vAlign w:val="center"/>
          </w:tcPr>
          <w:p w:rsidR="00D4246F" w:rsidRPr="00374B1C" w:rsidRDefault="00D4246F" w:rsidP="006A2506">
            <w:pPr>
              <w:widowControl/>
              <w:spacing w:line="315" w:lineRule="atLeast"/>
              <w:jc w:val="right"/>
              <w:rPr>
                <w:rFonts w:ascii="宋体" w:hAnsi="宋体" w:cs="宋体"/>
                <w:color w:val="919191"/>
                <w:kern w:val="0"/>
                <w:szCs w:val="21"/>
              </w:rPr>
            </w:pPr>
            <w:smartTag w:uri="urn:schemas-microsoft-com:office:smarttags" w:element="chsdate">
              <w:smartTagPr>
                <w:attr w:name="Year" w:val="2016"/>
                <w:attr w:name="Month" w:val="12"/>
                <w:attr w:name="Day" w:val="26"/>
                <w:attr w:name="IsLunarDate" w:val="False"/>
                <w:attr w:name="IsROCDate" w:val="False"/>
              </w:smartTagPr>
              <w:r w:rsidRPr="00374B1C">
                <w:rPr>
                  <w:rFonts w:ascii="宋体" w:hAnsi="宋体" w:cs="宋体" w:hint="eastAsia"/>
                  <w:color w:val="919191"/>
                  <w:kern w:val="0"/>
                  <w:szCs w:val="21"/>
                </w:rPr>
                <w:t>2016年12月26日</w:t>
              </w:r>
            </w:smartTag>
            <w:r w:rsidRPr="00374B1C">
              <w:rPr>
                <w:rFonts w:ascii="宋体" w:hAnsi="宋体" w:cs="宋体" w:hint="eastAsia"/>
                <w:color w:val="919191"/>
                <w:kern w:val="0"/>
                <w:szCs w:val="21"/>
              </w:rPr>
              <w:t xml:space="preserve"> 发布</w:t>
            </w:r>
          </w:p>
        </w:tc>
      </w:tr>
      <w:tr w:rsidR="00D4246F" w:rsidRPr="00374B1C" w:rsidTr="006A2506">
        <w:trPr>
          <w:trHeight w:val="60"/>
          <w:tblCellSpacing w:w="0" w:type="dxa"/>
        </w:trPr>
        <w:tc>
          <w:tcPr>
            <w:tcW w:w="11070" w:type="dxa"/>
            <w:vAlign w:val="center"/>
          </w:tcPr>
          <w:p w:rsidR="00D4246F" w:rsidRPr="00374B1C" w:rsidRDefault="00D4246F" w:rsidP="006A2506">
            <w:pPr>
              <w:widowControl/>
              <w:spacing w:line="306" w:lineRule="atLeast"/>
              <w:jc w:val="center"/>
              <w:rPr>
                <w:rFonts w:ascii="宋体" w:hAnsi="宋体" w:cs="宋体"/>
                <w:color w:val="000000"/>
                <w:kern w:val="0"/>
                <w:sz w:val="6"/>
                <w:szCs w:val="18"/>
              </w:rPr>
            </w:pPr>
          </w:p>
        </w:tc>
      </w:tr>
      <w:tr w:rsidR="00D4246F" w:rsidRPr="00374B1C" w:rsidTr="006A2506">
        <w:trPr>
          <w:tblCellSpacing w:w="0" w:type="dxa"/>
        </w:trPr>
        <w:tc>
          <w:tcPr>
            <w:tcW w:w="0" w:type="auto"/>
            <w:tcMar>
              <w:top w:w="300" w:type="dxa"/>
              <w:left w:w="0" w:type="dxa"/>
              <w:bottom w:w="0" w:type="dxa"/>
              <w:right w:w="0" w:type="dxa"/>
            </w:tcMar>
            <w:vAlign w:val="center"/>
          </w:tcPr>
          <w:p w:rsidR="00D4246F" w:rsidRPr="00374B1C" w:rsidRDefault="00D4246F"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近期，四川省巴中市发生了一起因误用亚硝酸盐引起的农村自办群体性宴席食物中毒事件，应引起广大公众警惕。</w:t>
            </w:r>
          </w:p>
          <w:p w:rsidR="00D4246F" w:rsidRPr="00374B1C" w:rsidRDefault="00D4246F"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w:t>
            </w:r>
            <w:r w:rsidRPr="00374B1C">
              <w:rPr>
                <w:rFonts w:ascii="宋体" w:hAnsi="宋体" w:cs="宋体" w:hint="eastAsia"/>
                <w:b/>
                <w:bCs/>
                <w:color w:val="000000"/>
                <w:kern w:val="0"/>
              </w:rPr>
              <w:t>一、什么是亚硝酸盐</w:t>
            </w:r>
          </w:p>
          <w:p w:rsidR="00D4246F" w:rsidRPr="00374B1C" w:rsidRDefault="00D4246F"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亚硝酸盐是自然界中普遍存在的一类含氮无机化合物，可作为食品添加剂应用于肉制品中。常见的亚硝酸盐主要有亚硝酸钠和亚硝酸钾，其外观与食盐类似，呈白色至淡黄色，粉末或颗粒状，无臭，味微咸，易潮解和溶于水。</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正常饮食情况下，人体中的亚硝酸盐主要是食物和饮水中的硝酸盐在口腔及胃中细菌的作用下转化而来。研究表明，亚硝酸盐可以通过一定途径被还原为一氧化氮。摄入含有低水平亚硝酸盐的食物可补充人体内的亚硝酸盐。</w:t>
            </w:r>
          </w:p>
          <w:p w:rsidR="00D4246F" w:rsidRPr="00374B1C" w:rsidRDefault="00D4246F"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w:t>
            </w:r>
            <w:r w:rsidRPr="00374B1C">
              <w:rPr>
                <w:rFonts w:ascii="宋体" w:hAnsi="宋体" w:cs="宋体" w:hint="eastAsia"/>
                <w:b/>
                <w:bCs/>
                <w:color w:val="000000"/>
                <w:kern w:val="0"/>
              </w:rPr>
              <w:t>二、亚硝酸盐在食品中使用的规定</w:t>
            </w:r>
          </w:p>
          <w:p w:rsidR="00D4246F" w:rsidRPr="00374B1C" w:rsidRDefault="00D4246F"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我国食品安全国家标准对亚硝酸盐的使用和安全管理有着严格要求，按照标准规定使用亚硝酸盐是安全的。国标规定亚硝酸钠、亚硝酸钾可作为护色剂、防腐剂在腌腊肉制品、酱卤肉制品和熏、烧、烤肉等加工中使用，并规定了最大使用量和最大残留量。餐饮服务提供者应当遵守《关于禁止餐饮服务单位采购、贮存、使用食品添加剂亚硝酸盐的公告》（卫生部公告2012年第10号）规定：禁止采购、贮存、使用食品添加剂亚硝酸盐（亚硝酸钠、亚硝酸钾）。</w:t>
            </w:r>
          </w:p>
          <w:p w:rsidR="00D4246F" w:rsidRPr="00374B1C" w:rsidRDefault="00D4246F"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w:t>
            </w:r>
            <w:r w:rsidRPr="00374B1C">
              <w:rPr>
                <w:rFonts w:ascii="宋体" w:hAnsi="宋体" w:cs="宋体" w:hint="eastAsia"/>
                <w:b/>
                <w:bCs/>
                <w:color w:val="000000"/>
                <w:kern w:val="0"/>
              </w:rPr>
              <w:t>三、人体过量摄入亚硝酸盐的危害</w:t>
            </w:r>
          </w:p>
          <w:p w:rsidR="00D4246F" w:rsidRPr="00374B1C" w:rsidRDefault="00D4246F"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如果短时间内经口摄入（误食或超量摄入）较大量的亚硝酸盐，则容易引起急性中毒，使血液中具有正常携氧能力的低铁血红蛋白氧化成高铁血红蛋白，失去携氧能力，造成组织缺氧，称为高铁血红蛋白血症。</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t xml:space="preserve">　　当摄入量达到0.2</w:t>
            </w:r>
            <w:smartTag w:uri="urn:schemas-microsoft-com:office:smarttags" w:element="chmetcnv">
              <w:smartTagPr>
                <w:attr w:name="UnitName" w:val="g"/>
                <w:attr w:name="SourceValue" w:val=".5"/>
                <w:attr w:name="HasSpace" w:val="False"/>
                <w:attr w:name="Negative" w:val="True"/>
                <w:attr w:name="NumberType" w:val="1"/>
                <w:attr w:name="TCSC" w:val="0"/>
              </w:smartTagPr>
              <w:r w:rsidRPr="00374B1C">
                <w:rPr>
                  <w:rFonts w:ascii="宋体" w:hAnsi="宋体" w:cs="宋体" w:hint="eastAsia"/>
                  <w:color w:val="000000"/>
                  <w:kern w:val="0"/>
                  <w:szCs w:val="21"/>
                </w:rPr>
                <w:t>-0.5g</w:t>
              </w:r>
            </w:smartTag>
            <w:r w:rsidRPr="00374B1C">
              <w:rPr>
                <w:rFonts w:ascii="宋体" w:hAnsi="宋体" w:cs="宋体" w:hint="eastAsia"/>
                <w:color w:val="000000"/>
                <w:kern w:val="0"/>
                <w:szCs w:val="21"/>
              </w:rPr>
              <w:t>时可导致中毒，摄入量超过</w:t>
            </w:r>
            <w:smartTag w:uri="urn:schemas-microsoft-com:office:smarttags" w:element="chmetcnv">
              <w:smartTagPr>
                <w:attr w:name="UnitName" w:val="g"/>
                <w:attr w:name="SourceValue" w:val="3"/>
                <w:attr w:name="HasSpace" w:val="False"/>
                <w:attr w:name="Negative" w:val="False"/>
                <w:attr w:name="NumberType" w:val="1"/>
                <w:attr w:name="TCSC" w:val="0"/>
              </w:smartTagPr>
              <w:r w:rsidRPr="00374B1C">
                <w:rPr>
                  <w:rFonts w:ascii="宋体" w:hAnsi="宋体" w:cs="宋体" w:hint="eastAsia"/>
                  <w:color w:val="000000"/>
                  <w:kern w:val="0"/>
                  <w:szCs w:val="21"/>
                </w:rPr>
                <w:t>3g</w:t>
              </w:r>
            </w:smartTag>
            <w:r w:rsidRPr="00374B1C">
              <w:rPr>
                <w:rFonts w:ascii="宋体" w:hAnsi="宋体" w:cs="宋体" w:hint="eastAsia"/>
                <w:color w:val="000000"/>
                <w:kern w:val="0"/>
                <w:szCs w:val="21"/>
              </w:rPr>
              <w:t>时可致人死亡。</w:t>
            </w:r>
            <w:r w:rsidRPr="00374B1C">
              <w:rPr>
                <w:rFonts w:ascii="宋体" w:hAnsi="宋体" w:cs="宋体" w:hint="eastAsia"/>
                <w:color w:val="000000"/>
                <w:kern w:val="0"/>
                <w:sz w:val="18"/>
                <w:szCs w:val="18"/>
              </w:rPr>
              <w:br/>
            </w:r>
            <w:r w:rsidRPr="00374B1C">
              <w:rPr>
                <w:rFonts w:ascii="宋体" w:hAnsi="宋体" w:cs="宋体" w:hint="eastAsia"/>
                <w:color w:val="000000"/>
                <w:kern w:val="0"/>
                <w:szCs w:val="21"/>
              </w:rPr>
              <w:lastRenderedPageBreak/>
              <w:t xml:space="preserve">　　中毒的特征性表现为紫绀，症状体征有头痛、头晕、乏力、胸闷、气短、心悸、恶心、呕吐、腹痛、腹泻，口唇、指甲及全身皮肤、黏膜紫绀等。严重者意识朦胧、烦躁不安、昏迷、呼吸衰竭直至死亡。</w:t>
            </w:r>
          </w:p>
          <w:p w:rsidR="00D4246F" w:rsidRPr="00374B1C" w:rsidRDefault="00D4246F"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w:t>
            </w:r>
            <w:r w:rsidRPr="00374B1C">
              <w:rPr>
                <w:rFonts w:ascii="宋体" w:hAnsi="宋体" w:cs="宋体" w:hint="eastAsia"/>
                <w:b/>
                <w:bCs/>
                <w:color w:val="000000"/>
                <w:kern w:val="0"/>
              </w:rPr>
              <w:t>四、常见的亚硝酸盐致食物中毒的原因</w:t>
            </w:r>
          </w:p>
          <w:p w:rsidR="00D4246F" w:rsidRPr="00374B1C" w:rsidRDefault="00D4246F"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常见的亚硝酸盐致食物中毒的原因有四类。一是由于亚硝酸盐在外观上与食盐相似，误将亚硝酸盐当作食盐使用或食用，是引起中毒的主要原因。二是由于我国很多地区有家庭自制加工肉制品的习惯，如果食用含亚硝酸盐过量的肉制品也会引起食物中毒。三是贮存过久、腐烂或煮熟后放置过久及刚腌渍不久的蔬菜中亚硝酸盐的含量会有所增加，该情况下食用容易导致中毒。四是个别地区的井水含硝酸盐较多（称为“苦井水”），用这种水煮的饭如存放过久，硝酸盐在细菌作用下可被还原成亚硝酸盐而导致中毒。</w:t>
            </w:r>
          </w:p>
          <w:p w:rsidR="00D4246F" w:rsidRPr="00374B1C" w:rsidRDefault="00D4246F" w:rsidP="006A2506">
            <w:pPr>
              <w:widowControl/>
              <w:spacing w:before="100" w:beforeAutospacing="1" w:after="100" w:afterAutospacing="1" w:line="420" w:lineRule="atLeast"/>
              <w:jc w:val="left"/>
              <w:rPr>
                <w:rFonts w:ascii="宋体" w:hAnsi="宋体" w:cs="宋体" w:hint="eastAsia"/>
                <w:color w:val="000000"/>
                <w:kern w:val="0"/>
                <w:szCs w:val="21"/>
              </w:rPr>
            </w:pPr>
            <w:r w:rsidRPr="00374B1C">
              <w:rPr>
                <w:rFonts w:ascii="宋体" w:hAnsi="宋体" w:cs="宋体" w:hint="eastAsia"/>
                <w:color w:val="000000"/>
                <w:kern w:val="0"/>
                <w:szCs w:val="21"/>
              </w:rPr>
              <w:t xml:space="preserve">　　</w:t>
            </w:r>
            <w:r w:rsidRPr="00374B1C">
              <w:rPr>
                <w:rFonts w:ascii="宋体" w:hAnsi="宋体" w:cs="宋体" w:hint="eastAsia"/>
                <w:b/>
                <w:bCs/>
                <w:color w:val="000000"/>
                <w:kern w:val="0"/>
              </w:rPr>
              <w:t>五、消费建议</w:t>
            </w:r>
          </w:p>
          <w:p w:rsidR="00D4246F" w:rsidRPr="00374B1C" w:rsidRDefault="00D4246F" w:rsidP="006A2506">
            <w:pPr>
              <w:widowControl/>
              <w:spacing w:before="100" w:beforeAutospacing="1" w:after="100" w:afterAutospacing="1" w:line="420" w:lineRule="atLeast"/>
              <w:jc w:val="left"/>
              <w:rPr>
                <w:rFonts w:ascii="宋体" w:hAnsi="宋体" w:cs="宋体"/>
                <w:color w:val="000000"/>
                <w:kern w:val="0"/>
                <w:szCs w:val="21"/>
              </w:rPr>
            </w:pPr>
            <w:r w:rsidRPr="00374B1C">
              <w:rPr>
                <w:rFonts w:ascii="宋体" w:hAnsi="宋体" w:cs="宋体" w:hint="eastAsia"/>
                <w:color w:val="000000"/>
                <w:kern w:val="0"/>
                <w:szCs w:val="21"/>
              </w:rPr>
              <w:t xml:space="preserve">　　消费者要购买正规渠道销售的食盐。要注意食用新鲜蔬菜，不食用存放过久或变质的蔬菜。吃剩的熟菜不可在高温下存放过久，饭菜最好现做现吃。尽量不用“苦井水”煮饭，不得不用时，应避免长时间存放。此外，在食用加工肉制品、咸菜等食品时，可搭配富含维生素C、茶多酚等成分的食物，以降低可能含有的亚硝酸盐的毒性。</w:t>
            </w:r>
          </w:p>
        </w:tc>
      </w:tr>
    </w:tbl>
    <w:p w:rsidR="00317912" w:rsidRPr="00D4246F" w:rsidRDefault="00317912"/>
    <w:sectPr w:rsidR="00317912" w:rsidRPr="00D4246F" w:rsidSect="003179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246F"/>
    <w:rsid w:val="00317912"/>
    <w:rsid w:val="00D424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4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246F"/>
    <w:rPr>
      <w:sz w:val="18"/>
      <w:szCs w:val="18"/>
    </w:rPr>
  </w:style>
  <w:style w:type="character" w:customStyle="1" w:styleId="Char">
    <w:name w:val="批注框文本 Char"/>
    <w:basedOn w:val="a0"/>
    <w:link w:val="a3"/>
    <w:uiPriority w:val="99"/>
    <w:semiHidden/>
    <w:rsid w:val="00D4246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re.v.t.qq.com/index.php?c=share&amp;a=index&amp;title=%E5%85%B3%E4%BA%8E%E9%A2%84%E9%98%B2%E4%BA%9A%E7%A1%9D%E9%85%B8%E7%9B%90%E4%B8%AD%E6%AF%92%E7%9A%84%E6%B6%88%E8%B4%B9%E8%AD%A6%E7%A4%BA&amp;url=http%3A%2F%2Fwww.sda.gov.cn%2FWS01%2FCL1680%2F167965.html"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sda.gov.cn/WS01/wbppcss/ewm.html?url=http%3A%2F%2Fwww.sda.gov.cn%2FWS01%2FCL1680%2F167965.html&amp;title=%E5%85%B3%E4%BA%8E%E9%A2%84%E9%98%B2%E4%BA%9A%E7%A1%9D%E9%85%B8%E7%9B%90%E4%B8%AD%E6%AF%92%E7%9A%84%E6%B6%88%E8%B4%B9%E8%AD%A6%E7%A4%B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t.sina.com.cn/share/share.php?title=%E5%85%B3%E4%BA%8E%E9%A2%84%E9%98%B2%E4%BA%9A%E7%A1%9D%E9%85%B8%E7%9B%90%E4%B8%AD%E6%AF%92%E7%9A%84%E6%B6%88%E8%B4%B9%E8%AD%A6%E7%A4%BA&amp;url=http%3A%2F%2Fwww.sda.gov.cn%2FWS01%2FCL1680%2F167965.html"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ns.qzone.qq.com/cgi-bin/qzshare/cgi_qzshare_onekey?url=http%3A%2F%2Fwww.sda.gov.cn%2FWS01%2FCL1680%2F167965.html&amp;title=%E5%85%B3%E4%BA%8E%E9%A2%84%E9%98%B2%E4%BA%9A%E7%A1%9D%E9%85%B8%E7%9B%90%E4%B8%AD%E6%AF%92%E7%9A%84%E6%B6%88%E8%B4%B9%E8%AD%A6%E7%A4%BA&amp;api_key="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1750</Characters>
  <Application>Microsoft Office Word</Application>
  <DocSecurity>0</DocSecurity>
  <Lines>14</Lines>
  <Paragraphs>4</Paragraphs>
  <ScaleCrop>false</ScaleCrop>
  <Company>china</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2017-05-07T06:08:00Z</dcterms:created>
  <dcterms:modified xsi:type="dcterms:W3CDTF">2017-05-07T06:08:00Z</dcterms:modified>
</cp:coreProperties>
</file>