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000"/>
      </w:tblPr>
      <w:tblGrid>
        <w:gridCol w:w="8306"/>
      </w:tblGrid>
      <w:tr w:rsidR="00026D69" w:rsidRPr="00563EB5" w:rsidTr="006A2506">
        <w:trPr>
          <w:tblCellSpacing w:w="0" w:type="dxa"/>
        </w:trPr>
        <w:tc>
          <w:tcPr>
            <w:tcW w:w="0" w:type="auto"/>
            <w:tcMar>
              <w:top w:w="30" w:type="dxa"/>
              <w:left w:w="0" w:type="dxa"/>
              <w:bottom w:w="150" w:type="dxa"/>
              <w:right w:w="0" w:type="dxa"/>
            </w:tcMar>
            <w:vAlign w:val="center"/>
          </w:tcPr>
          <w:p w:rsidR="00026D69" w:rsidRPr="00563EB5" w:rsidRDefault="00026D69" w:rsidP="006A2506">
            <w:pPr>
              <w:widowControl/>
              <w:spacing w:line="495" w:lineRule="atLeast"/>
              <w:jc w:val="center"/>
              <w:rPr>
                <w:rFonts w:ascii="宋体" w:hAnsi="宋体" w:cs="宋体"/>
                <w:b/>
                <w:bCs/>
                <w:color w:val="093A96"/>
                <w:kern w:val="0"/>
                <w:sz w:val="33"/>
                <w:szCs w:val="33"/>
              </w:rPr>
            </w:pPr>
            <w:r w:rsidRPr="00563EB5">
              <w:rPr>
                <w:rFonts w:ascii="宋体" w:hAnsi="宋体" w:cs="宋体" w:hint="eastAsia"/>
                <w:b/>
                <w:bCs/>
                <w:color w:val="093A96"/>
                <w:kern w:val="0"/>
                <w:sz w:val="33"/>
                <w:szCs w:val="33"/>
              </w:rPr>
              <w:t>总局关于经营环节重点水产品专项检查结果的通告（2017年第34号）</w:t>
            </w:r>
          </w:p>
        </w:tc>
      </w:tr>
      <w:tr w:rsidR="00026D69" w:rsidRPr="00563EB5" w:rsidTr="006A2506">
        <w:trPr>
          <w:tblCellSpacing w:w="0" w:type="dxa"/>
        </w:trPr>
        <w:tc>
          <w:tcPr>
            <w:tcW w:w="0" w:type="auto"/>
            <w:vAlign w:val="center"/>
          </w:tcPr>
          <w:p w:rsidR="00026D69" w:rsidRPr="00563EB5" w:rsidRDefault="00026D69" w:rsidP="006A2506">
            <w:pPr>
              <w:widowControl/>
              <w:spacing w:line="540" w:lineRule="atLeast"/>
              <w:jc w:val="center"/>
              <w:rPr>
                <w:rFonts w:ascii="宋体" w:hAnsi="宋体" w:cs="宋体"/>
                <w:b/>
                <w:bCs/>
                <w:color w:val="093A96"/>
                <w:kern w:val="0"/>
                <w:sz w:val="27"/>
                <w:szCs w:val="27"/>
              </w:rPr>
            </w:pPr>
          </w:p>
        </w:tc>
      </w:tr>
      <w:tr w:rsidR="00026D69" w:rsidRPr="00563EB5" w:rsidTr="006A2506">
        <w:trPr>
          <w:tblCellSpacing w:w="0" w:type="dxa"/>
        </w:trPr>
        <w:tc>
          <w:tcPr>
            <w:tcW w:w="0" w:type="auto"/>
            <w:vAlign w:val="center"/>
          </w:tcPr>
          <w:tbl>
            <w:tblPr>
              <w:tblW w:w="0" w:type="auto"/>
              <w:jc w:val="right"/>
              <w:tblCellSpacing w:w="15" w:type="dxa"/>
              <w:tblCellMar>
                <w:left w:w="0" w:type="dxa"/>
                <w:right w:w="0" w:type="dxa"/>
              </w:tblCellMar>
              <w:tblLook w:val="0000"/>
            </w:tblPr>
            <w:tblGrid>
              <w:gridCol w:w="1005"/>
              <w:gridCol w:w="2865"/>
            </w:tblGrid>
            <w:tr w:rsidR="00026D69" w:rsidRPr="00563EB5" w:rsidTr="006A2506">
              <w:trPr>
                <w:tblCellSpacing w:w="15" w:type="dxa"/>
                <w:jc w:val="right"/>
              </w:trPr>
              <w:tc>
                <w:tcPr>
                  <w:tcW w:w="0" w:type="auto"/>
                  <w:tcMar>
                    <w:top w:w="60" w:type="dxa"/>
                    <w:left w:w="0" w:type="dxa"/>
                    <w:bottom w:w="0" w:type="dxa"/>
                    <w:right w:w="0" w:type="dxa"/>
                  </w:tcMar>
                  <w:vAlign w:val="center"/>
                </w:tcPr>
                <w:p w:rsidR="00026D69" w:rsidRPr="00563EB5" w:rsidRDefault="00026D69" w:rsidP="006A2506">
                  <w:pPr>
                    <w:widowControl/>
                    <w:spacing w:line="306" w:lineRule="atLeast"/>
                    <w:jc w:val="left"/>
                    <w:rPr>
                      <w:rFonts w:ascii="宋体" w:hAnsi="宋体" w:cs="宋体"/>
                      <w:kern w:val="0"/>
                      <w:sz w:val="18"/>
                      <w:szCs w:val="18"/>
                    </w:rPr>
                  </w:pPr>
                  <w:r>
                    <w:rPr>
                      <w:rFonts w:ascii="宋体" w:hAnsi="宋体" w:cs="宋体"/>
                      <w:noProof/>
                      <w:kern w:val="0"/>
                      <w:sz w:val="18"/>
                      <w:szCs w:val="18"/>
                    </w:rPr>
                    <w:drawing>
                      <wp:inline distT="0" distB="0" distL="0" distR="0">
                        <wp:extent cx="228600" cy="228600"/>
                        <wp:effectExtent l="19050" t="0" r="0" b="0"/>
                        <wp:docPr id="1" name="btnDown"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Down" descr="下载"/>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63EB5">
                    <w:rPr>
                      <w:rFonts w:ascii="宋体" w:hAnsi="宋体" w:cs="宋体" w:hint="eastAsia"/>
                      <w:kern w:val="0"/>
                      <w:sz w:val="18"/>
                    </w:rPr>
                    <w:t> </w:t>
                  </w:r>
                  <w:r>
                    <w:rPr>
                      <w:rFonts w:ascii="宋体" w:hAnsi="宋体" w:cs="宋体"/>
                      <w:noProof/>
                      <w:kern w:val="0"/>
                      <w:sz w:val="18"/>
                      <w:szCs w:val="18"/>
                    </w:rPr>
                    <w:drawing>
                      <wp:inline distT="0" distB="0" distL="0" distR="0">
                        <wp:extent cx="228600" cy="228600"/>
                        <wp:effectExtent l="19050" t="0" r="0" b="0"/>
                        <wp:docPr id="2" name="btnPrint" descr="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Print" descr="打印"/>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tcPr>
                <w:p w:rsidR="00026D69" w:rsidRPr="00563EB5" w:rsidRDefault="00026D69" w:rsidP="006A2506">
                  <w:pPr>
                    <w:widowControl/>
                    <w:spacing w:line="306" w:lineRule="atLeast"/>
                    <w:jc w:val="left"/>
                    <w:rPr>
                      <w:rFonts w:ascii="宋体" w:hAnsi="宋体" w:cs="宋体"/>
                      <w:kern w:val="0"/>
                      <w:sz w:val="18"/>
                      <w:szCs w:val="18"/>
                    </w:rPr>
                  </w:pPr>
                  <w:r w:rsidRPr="00563EB5">
                    <w:rPr>
                      <w:rFonts w:ascii="宋体" w:hAnsi="宋体" w:cs="宋体" w:hint="eastAsia"/>
                      <w:kern w:val="0"/>
                      <w:sz w:val="18"/>
                      <w:szCs w:val="18"/>
                    </w:rPr>
                    <w:t>   </w:t>
                  </w:r>
                  <w:r w:rsidRPr="00563EB5">
                    <w:rPr>
                      <w:rFonts w:ascii="宋体" w:hAnsi="宋体" w:cs="宋体" w:hint="eastAsia"/>
                      <w:kern w:val="0"/>
                      <w:sz w:val="18"/>
                    </w:rPr>
                    <w:t> </w:t>
                  </w:r>
                  <w:hyperlink r:id="rId6" w:tgtFrame="_blank" w:history="1">
                    <w:r>
                      <w:rPr>
                        <w:rFonts w:ascii="宋体" w:hAnsi="宋体" w:cs="宋体"/>
                        <w:noProof/>
                        <w:color w:val="3A3A3A"/>
                        <w:kern w:val="0"/>
                        <w:sz w:val="18"/>
                        <w:szCs w:val="18"/>
                      </w:rPr>
                      <w:drawing>
                        <wp:inline distT="0" distB="0" distL="0" distR="0">
                          <wp:extent cx="228600" cy="228600"/>
                          <wp:effectExtent l="19050" t="0" r="0" b="0"/>
                          <wp:docPr id="3" name="图片 3" descr="分享到新浪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享到新浪微博"/>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63EB5">
                      <w:rPr>
                        <w:rFonts w:ascii="宋体" w:hAnsi="宋体" w:cs="宋体" w:hint="eastAsia"/>
                        <w:color w:val="3A3A3A"/>
                        <w:kern w:val="0"/>
                        <w:sz w:val="18"/>
                      </w:rPr>
                      <w:t> </w:t>
                    </w:r>
                  </w:hyperlink>
                  <w:hyperlink r:id="rId8" w:tgtFrame="_blank" w:history="1">
                    <w:r>
                      <w:rPr>
                        <w:rFonts w:ascii="宋体" w:hAnsi="宋体" w:cs="宋体"/>
                        <w:noProof/>
                        <w:color w:val="3A3A3A"/>
                        <w:kern w:val="0"/>
                        <w:sz w:val="18"/>
                        <w:szCs w:val="18"/>
                      </w:rPr>
                      <w:drawing>
                        <wp:inline distT="0" distB="0" distL="0" distR="0">
                          <wp:extent cx="228600" cy="228600"/>
                          <wp:effectExtent l="19050" t="0" r="0" b="0"/>
                          <wp:docPr id="4" name="图片 4" descr="分享到腾讯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分享到腾讯微博"/>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63EB5">
                      <w:rPr>
                        <w:rFonts w:ascii="宋体" w:hAnsi="宋体" w:cs="宋体" w:hint="eastAsia"/>
                        <w:color w:val="3A3A3A"/>
                        <w:kern w:val="0"/>
                        <w:sz w:val="18"/>
                      </w:rPr>
                      <w:t> </w:t>
                    </w:r>
                  </w:hyperlink>
                  <w:hyperlink r:id="rId10" w:tgtFrame="_blank" w:history="1">
                    <w:r>
                      <w:rPr>
                        <w:rFonts w:ascii="宋体" w:hAnsi="宋体" w:cs="宋体"/>
                        <w:noProof/>
                        <w:color w:val="3A3A3A"/>
                        <w:kern w:val="0"/>
                        <w:sz w:val="18"/>
                        <w:szCs w:val="18"/>
                      </w:rPr>
                      <w:drawing>
                        <wp:inline distT="0" distB="0" distL="0" distR="0">
                          <wp:extent cx="228600" cy="228600"/>
                          <wp:effectExtent l="19050" t="0" r="0" b="0"/>
                          <wp:docPr id="5" name="图片 5" descr="分享到QQ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分享到QQ空间"/>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63EB5">
                      <w:rPr>
                        <w:rFonts w:ascii="宋体" w:hAnsi="宋体" w:cs="宋体" w:hint="eastAsia"/>
                        <w:color w:val="3A3A3A"/>
                        <w:kern w:val="0"/>
                        <w:sz w:val="18"/>
                      </w:rPr>
                      <w:t> </w:t>
                    </w:r>
                  </w:hyperlink>
                  <w:r>
                    <w:rPr>
                      <w:rFonts w:ascii="宋体" w:hAnsi="宋体" w:cs="宋体"/>
                      <w:noProof/>
                      <w:color w:val="3A3A3A"/>
                      <w:kern w:val="0"/>
                      <w:sz w:val="18"/>
                      <w:szCs w:val="18"/>
                    </w:rPr>
                    <w:drawing>
                      <wp:inline distT="0" distB="0" distL="0" distR="0">
                        <wp:extent cx="228600" cy="228600"/>
                        <wp:effectExtent l="19050" t="0" r="0" b="0"/>
                        <wp:docPr id="6" name="图片 6" descr="分享到微信">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分享到微信"/>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026D69" w:rsidRPr="00563EB5" w:rsidRDefault="00026D69" w:rsidP="006A2506">
            <w:pPr>
              <w:widowControl/>
              <w:spacing w:line="306" w:lineRule="atLeast"/>
              <w:jc w:val="right"/>
              <w:rPr>
                <w:rFonts w:ascii="宋体" w:hAnsi="宋体" w:cs="宋体"/>
                <w:kern w:val="0"/>
                <w:sz w:val="18"/>
                <w:szCs w:val="18"/>
              </w:rPr>
            </w:pPr>
          </w:p>
        </w:tc>
      </w:tr>
      <w:tr w:rsidR="00026D69" w:rsidRPr="00563EB5" w:rsidTr="006A2506">
        <w:trPr>
          <w:tblCellSpacing w:w="0" w:type="dxa"/>
        </w:trPr>
        <w:tc>
          <w:tcPr>
            <w:tcW w:w="0" w:type="auto"/>
            <w:tcMar>
              <w:top w:w="120" w:type="dxa"/>
              <w:left w:w="0" w:type="dxa"/>
              <w:bottom w:w="0" w:type="dxa"/>
              <w:right w:w="0" w:type="dxa"/>
            </w:tcMar>
            <w:vAlign w:val="center"/>
          </w:tcPr>
          <w:p w:rsidR="00026D69" w:rsidRPr="00563EB5" w:rsidRDefault="00026D69" w:rsidP="006A2506">
            <w:pPr>
              <w:widowControl/>
              <w:spacing w:line="315" w:lineRule="atLeast"/>
              <w:jc w:val="right"/>
              <w:rPr>
                <w:rFonts w:ascii="宋体" w:hAnsi="宋体" w:cs="宋体"/>
                <w:color w:val="919191"/>
                <w:kern w:val="0"/>
                <w:szCs w:val="21"/>
              </w:rPr>
            </w:pPr>
            <w:smartTag w:uri="urn:schemas-microsoft-com:office:smarttags" w:element="chsdate">
              <w:smartTagPr>
                <w:attr w:name="Year" w:val="2017"/>
                <w:attr w:name="Month" w:val="02"/>
                <w:attr w:name="Day" w:val="24"/>
                <w:attr w:name="IsLunarDate" w:val="False"/>
                <w:attr w:name="IsROCDate" w:val="False"/>
              </w:smartTagPr>
              <w:r w:rsidRPr="00563EB5">
                <w:rPr>
                  <w:rFonts w:ascii="宋体" w:hAnsi="宋体" w:cs="宋体" w:hint="eastAsia"/>
                  <w:color w:val="919191"/>
                  <w:kern w:val="0"/>
                  <w:szCs w:val="21"/>
                </w:rPr>
                <w:t>2017年02月24日</w:t>
              </w:r>
            </w:smartTag>
            <w:r w:rsidRPr="00563EB5">
              <w:rPr>
                <w:rFonts w:ascii="宋体" w:hAnsi="宋体" w:cs="宋体" w:hint="eastAsia"/>
                <w:color w:val="919191"/>
                <w:kern w:val="0"/>
                <w:szCs w:val="21"/>
              </w:rPr>
              <w:t xml:space="preserve"> 发布</w:t>
            </w:r>
          </w:p>
        </w:tc>
      </w:tr>
      <w:tr w:rsidR="00026D69" w:rsidRPr="00563EB5" w:rsidTr="006A2506">
        <w:trPr>
          <w:trHeight w:val="60"/>
          <w:tblCellSpacing w:w="0" w:type="dxa"/>
        </w:trPr>
        <w:tc>
          <w:tcPr>
            <w:tcW w:w="11070" w:type="dxa"/>
            <w:vAlign w:val="center"/>
          </w:tcPr>
          <w:p w:rsidR="00026D69" w:rsidRPr="00563EB5" w:rsidRDefault="00026D69" w:rsidP="006A2506">
            <w:pPr>
              <w:widowControl/>
              <w:spacing w:line="306" w:lineRule="atLeast"/>
              <w:jc w:val="center"/>
              <w:rPr>
                <w:rFonts w:ascii="宋体" w:hAnsi="宋体" w:cs="宋体"/>
                <w:color w:val="000000"/>
                <w:kern w:val="0"/>
                <w:sz w:val="6"/>
                <w:szCs w:val="18"/>
              </w:rPr>
            </w:pPr>
          </w:p>
        </w:tc>
      </w:tr>
      <w:tr w:rsidR="00026D69" w:rsidRPr="00563EB5" w:rsidTr="006A2506">
        <w:trPr>
          <w:tblCellSpacing w:w="0" w:type="dxa"/>
        </w:trPr>
        <w:tc>
          <w:tcPr>
            <w:tcW w:w="0" w:type="auto"/>
            <w:tcMar>
              <w:top w:w="300" w:type="dxa"/>
              <w:left w:w="0" w:type="dxa"/>
              <w:bottom w:w="0" w:type="dxa"/>
              <w:right w:w="0" w:type="dxa"/>
            </w:tcMar>
            <w:vAlign w:val="center"/>
          </w:tcPr>
          <w:p w:rsidR="00026D69" w:rsidRPr="00563EB5" w:rsidRDefault="00026D69" w:rsidP="006A2506">
            <w:pPr>
              <w:widowControl/>
              <w:spacing w:before="100" w:beforeAutospacing="1" w:after="100" w:afterAutospacing="1" w:line="420" w:lineRule="atLeast"/>
              <w:jc w:val="left"/>
              <w:rPr>
                <w:rFonts w:ascii="宋体" w:hAnsi="宋体" w:cs="宋体" w:hint="eastAsia"/>
                <w:color w:val="000000"/>
                <w:kern w:val="0"/>
                <w:szCs w:val="21"/>
              </w:rPr>
            </w:pPr>
            <w:r w:rsidRPr="00563EB5">
              <w:rPr>
                <w:rFonts w:ascii="宋体" w:hAnsi="宋体" w:cs="宋体" w:hint="eastAsia"/>
                <w:color w:val="000000"/>
                <w:kern w:val="0"/>
                <w:szCs w:val="21"/>
              </w:rPr>
              <w:t xml:space="preserve">　　根据国务院食品安全办等五部门联合印发的《畜禽水产品抗生素、禁用化合物及兽药残留超标专项整治行动方案》部署，国家食品药品监督管理总局在部分城市组织开展了经营环节重点水产品专项检查和抽样检验，在批发市场、集贸市场、超市以及餐馆等468家水产品经营单位，随机抽取了近年来抽检监测发现问题较多的大菱鲆（多宝鱼）、乌鳢（黑鱼）、鳜鱼等鲜活水产品808批次，检验项目为孔雀石绿、硝基呋喃类代谢物、氯霉素。检验结果合格739批次，合格率91.5%，检出不合格样品69批次，其中孔雀石绿不合格46批次，硝基呋喃代谢物不合格21批次，氯霉素不合格3批次。抽检鲜活水产品运输用水和销售暂养用水327批次，检验项目为孔雀石绿、氯霉素。检出不合格样品1批次，不合格项目为氯霉素，合格率为99.7%。</w:t>
            </w:r>
          </w:p>
          <w:p w:rsidR="00026D69" w:rsidRPr="00563EB5" w:rsidRDefault="00026D69" w:rsidP="006A2506">
            <w:pPr>
              <w:widowControl/>
              <w:spacing w:before="100" w:beforeAutospacing="1" w:after="100" w:afterAutospacing="1" w:line="420" w:lineRule="atLeast"/>
              <w:jc w:val="left"/>
              <w:rPr>
                <w:rFonts w:ascii="宋体" w:hAnsi="宋体" w:cs="宋体" w:hint="eastAsia"/>
                <w:color w:val="000000"/>
                <w:kern w:val="0"/>
                <w:szCs w:val="21"/>
              </w:rPr>
            </w:pPr>
            <w:r w:rsidRPr="00563EB5">
              <w:rPr>
                <w:rFonts w:ascii="宋体" w:hAnsi="宋体" w:cs="宋体" w:hint="eastAsia"/>
                <w:color w:val="000000"/>
                <w:kern w:val="0"/>
                <w:szCs w:val="21"/>
              </w:rPr>
              <w:t xml:space="preserve">　　这次专项检查发现的主要问题，一是鲜活水产品养殖过程中违规使用孔雀石绿、硝基呋喃等禁用药物的问题比较突出；二是违规使用禁用药物涉及多种鲜活水产品，不合格样品不仅包括正在集中整治的大菱鲆（多宝鱼）、乌鳢（黑鱼）、鳜鱼，还涉及草鱼、鲈鱼、鲫鱼、明虾、基围虾等其他鲜活水产品。</w:t>
            </w:r>
          </w:p>
          <w:p w:rsidR="00026D69" w:rsidRPr="00563EB5" w:rsidRDefault="00026D69" w:rsidP="006A2506">
            <w:pPr>
              <w:widowControl/>
              <w:spacing w:before="100" w:beforeAutospacing="1" w:after="100" w:afterAutospacing="1" w:line="420" w:lineRule="atLeast"/>
              <w:jc w:val="left"/>
              <w:rPr>
                <w:rFonts w:ascii="宋体" w:hAnsi="宋体" w:cs="宋体" w:hint="eastAsia"/>
                <w:color w:val="000000"/>
                <w:kern w:val="0"/>
                <w:szCs w:val="21"/>
              </w:rPr>
            </w:pPr>
            <w:r w:rsidRPr="00563EB5">
              <w:rPr>
                <w:rFonts w:ascii="宋体" w:hAnsi="宋体" w:cs="宋体" w:hint="eastAsia"/>
                <w:color w:val="000000"/>
                <w:kern w:val="0"/>
                <w:szCs w:val="21"/>
              </w:rPr>
              <w:t xml:space="preserve">　　针对专项检查中发现的不合格产品，国家食品药品监督管理总局已责成相关省、直辖市食品药品监督管理局对经营不合格水产品的经营单位进行立案调查、依法处理，涉嫌刑事犯罪的，及时移交公安机关调查，追究刑事责任。</w:t>
            </w:r>
          </w:p>
          <w:p w:rsidR="00026D69" w:rsidRPr="00563EB5" w:rsidRDefault="00026D69" w:rsidP="006A2506">
            <w:pPr>
              <w:widowControl/>
              <w:spacing w:before="100" w:beforeAutospacing="1" w:after="100" w:afterAutospacing="1" w:line="420" w:lineRule="atLeast"/>
              <w:jc w:val="left"/>
              <w:rPr>
                <w:rFonts w:ascii="宋体" w:hAnsi="宋体" w:cs="宋体" w:hint="eastAsia"/>
                <w:color w:val="000000"/>
                <w:kern w:val="0"/>
                <w:szCs w:val="21"/>
              </w:rPr>
            </w:pPr>
            <w:r w:rsidRPr="00563EB5">
              <w:rPr>
                <w:rFonts w:ascii="宋体" w:hAnsi="宋体" w:cs="宋体" w:hint="eastAsia"/>
                <w:color w:val="000000"/>
                <w:kern w:val="0"/>
                <w:szCs w:val="21"/>
              </w:rPr>
              <w:t xml:space="preserve">　　国家食品药品监督管理总局要求各地食品药品监管部门要进一步做好畜禽水产品抗生素、禁用化合物及兽药残留超标专项整治工作，加强专项检查和监督抽检，严厉打击水产品质量安全违法违规行为。</w:t>
            </w:r>
          </w:p>
          <w:p w:rsidR="00026D69" w:rsidRPr="00563EB5" w:rsidRDefault="00026D69" w:rsidP="006A2506">
            <w:pPr>
              <w:widowControl/>
              <w:spacing w:before="100" w:beforeAutospacing="1" w:after="100" w:afterAutospacing="1" w:line="420" w:lineRule="atLeast"/>
              <w:jc w:val="left"/>
              <w:rPr>
                <w:rFonts w:ascii="宋体" w:hAnsi="宋体" w:cs="宋体" w:hint="eastAsia"/>
                <w:color w:val="000000"/>
                <w:kern w:val="0"/>
                <w:szCs w:val="21"/>
              </w:rPr>
            </w:pPr>
            <w:r w:rsidRPr="00563EB5">
              <w:rPr>
                <w:rFonts w:ascii="宋体" w:hAnsi="宋体" w:cs="宋体" w:hint="eastAsia"/>
                <w:color w:val="000000"/>
                <w:kern w:val="0"/>
                <w:szCs w:val="21"/>
              </w:rPr>
              <w:t xml:space="preserve">　　特此通告。</w:t>
            </w:r>
          </w:p>
          <w:p w:rsidR="00026D69" w:rsidRPr="00563EB5" w:rsidRDefault="00026D69" w:rsidP="006A2506">
            <w:pPr>
              <w:widowControl/>
              <w:spacing w:before="100" w:beforeAutospacing="1" w:after="100" w:afterAutospacing="1" w:line="420" w:lineRule="atLeast"/>
              <w:jc w:val="left"/>
              <w:rPr>
                <w:rFonts w:ascii="宋体" w:hAnsi="宋体" w:cs="宋体" w:hint="eastAsia"/>
                <w:color w:val="000000"/>
                <w:kern w:val="0"/>
                <w:szCs w:val="21"/>
              </w:rPr>
            </w:pPr>
            <w:r w:rsidRPr="00563EB5">
              <w:rPr>
                <w:rFonts w:ascii="宋体" w:hAnsi="宋体" w:cs="宋体" w:hint="eastAsia"/>
                <w:color w:val="000000"/>
                <w:kern w:val="0"/>
                <w:szCs w:val="21"/>
              </w:rPr>
              <w:lastRenderedPageBreak/>
              <w:t xml:space="preserve">　　附件：1.鲜活水产品抽检不合格产品信息</w:t>
            </w:r>
            <w:r w:rsidRPr="00563EB5">
              <w:rPr>
                <w:rFonts w:ascii="宋体" w:hAnsi="宋体" w:cs="宋体" w:hint="eastAsia"/>
                <w:color w:val="000000"/>
                <w:kern w:val="0"/>
                <w:sz w:val="18"/>
                <w:szCs w:val="18"/>
              </w:rPr>
              <w:br/>
            </w:r>
            <w:r w:rsidRPr="00563EB5">
              <w:rPr>
                <w:rFonts w:ascii="宋体" w:hAnsi="宋体" w:cs="宋体" w:hint="eastAsia"/>
                <w:color w:val="000000"/>
                <w:kern w:val="0"/>
                <w:szCs w:val="21"/>
              </w:rPr>
              <w:t xml:space="preserve">　　　　　2.养殖用水抽检不合格样品信息</w:t>
            </w:r>
            <w:r w:rsidRPr="00563EB5">
              <w:rPr>
                <w:rFonts w:ascii="宋体" w:hAnsi="宋体" w:cs="宋体" w:hint="eastAsia"/>
                <w:color w:val="000000"/>
                <w:kern w:val="0"/>
                <w:sz w:val="18"/>
                <w:szCs w:val="18"/>
              </w:rPr>
              <w:br/>
            </w:r>
            <w:r w:rsidRPr="00563EB5">
              <w:rPr>
                <w:rFonts w:ascii="宋体" w:hAnsi="宋体" w:cs="宋体" w:hint="eastAsia"/>
                <w:color w:val="000000"/>
                <w:kern w:val="0"/>
                <w:szCs w:val="21"/>
              </w:rPr>
              <w:t xml:space="preserve">　　　　　3.鲜活水产品抽检产品合格信息</w:t>
            </w:r>
            <w:r w:rsidRPr="00563EB5">
              <w:rPr>
                <w:rFonts w:ascii="宋体" w:hAnsi="宋体" w:cs="宋体" w:hint="eastAsia"/>
                <w:color w:val="000000"/>
                <w:kern w:val="0"/>
                <w:sz w:val="18"/>
                <w:szCs w:val="18"/>
              </w:rPr>
              <w:br/>
            </w:r>
            <w:r w:rsidRPr="00563EB5">
              <w:rPr>
                <w:rFonts w:ascii="宋体" w:hAnsi="宋体" w:cs="宋体" w:hint="eastAsia"/>
                <w:color w:val="000000"/>
                <w:kern w:val="0"/>
                <w:szCs w:val="21"/>
              </w:rPr>
              <w:t xml:space="preserve">　　　　　4.养殖用水抽检样品合格信息</w:t>
            </w:r>
          </w:p>
          <w:p w:rsidR="00026D69" w:rsidRPr="00563EB5" w:rsidRDefault="00026D69" w:rsidP="006A2506">
            <w:pPr>
              <w:widowControl/>
              <w:spacing w:before="100" w:beforeAutospacing="1" w:after="100" w:afterAutospacing="1" w:line="420" w:lineRule="atLeast"/>
              <w:jc w:val="right"/>
              <w:rPr>
                <w:rFonts w:ascii="宋体" w:hAnsi="宋体" w:cs="宋体"/>
                <w:color w:val="000000"/>
                <w:kern w:val="0"/>
                <w:szCs w:val="21"/>
              </w:rPr>
            </w:pPr>
          </w:p>
        </w:tc>
      </w:tr>
    </w:tbl>
    <w:p w:rsidR="00317912" w:rsidRPr="00026D69" w:rsidRDefault="00317912"/>
    <w:sectPr w:rsidR="00317912" w:rsidRPr="00026D69" w:rsidSect="003179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6D69"/>
    <w:rsid w:val="00026D69"/>
    <w:rsid w:val="003179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26D69"/>
    <w:rPr>
      <w:sz w:val="18"/>
      <w:szCs w:val="18"/>
    </w:rPr>
  </w:style>
  <w:style w:type="character" w:customStyle="1" w:styleId="Char">
    <w:name w:val="批注框文本 Char"/>
    <w:basedOn w:val="a0"/>
    <w:link w:val="a3"/>
    <w:uiPriority w:val="99"/>
    <w:semiHidden/>
    <w:rsid w:val="00026D6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re.v.t.qq.com/index.php?c=share&amp;a=index&amp;title=%E6%80%BB%E5%B1%80%E5%85%B3%E4%BA%8E%E7%BB%8F%E8%90%A5%E7%8E%AF%E8%8A%82%E9%87%8D%E7%82%B9%E6%B0%B4%E4%BA%A7%E5%93%81%E4%B8%93%E9%A1%B9%E6%A3%80%E6%9F%A5%E7%BB%93%E6%9E%9C%E7%9A%84%E9%80%9A%E5%91%8A%EF%BC%882017%E5%B9%B4%E7%AC%AC34%E5%8F%B7%EF%BC%89&amp;url=http%3A%2F%2Fwww.sda.gov.cn%2FWS01%2FCL1687%2F169945.html"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sda.gov.cn/WS01/wbppcss/ewm.html?url=http%3A%2F%2Fwww.sda.gov.cn%2FWS01%2FCL1687%2F169945.html&amp;title=%E6%80%BB%E5%B1%80%E5%85%B3%E4%BA%8E%E7%BB%8F%E8%90%A5%E7%8E%AF%E8%8A%82%E9%87%8D%E7%82%B9%E6%B0%B4%E4%BA%A7%E5%93%81%E4%B8%93%E9%A1%B9%E6%A3%80%E6%9F%A5%E7%BB%93%E6%9E%9C%E7%9A%84%E9%80%9A%E5%91%8A%EF%BC%882017%E5%B9%B4%E7%AC%AC34%E5%8F%B7%EF%BC%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t.sina.com.cn/share/share.php?title=%E6%80%BB%E5%B1%80%E5%85%B3%E4%BA%8E%E7%BB%8F%E8%90%A5%E7%8E%AF%E8%8A%82%E9%87%8D%E7%82%B9%E6%B0%B4%E4%BA%A7%E5%93%81%E4%B8%93%E9%A1%B9%E6%A3%80%E6%9F%A5%E7%BB%93%E6%9E%9C%E7%9A%84%E9%80%9A%E5%91%8A%EF%BC%882017%E5%B9%B4%E7%AC%AC34%E5%8F%B7%EF%BC%89&amp;url=http%3A%2F%2Fwww.sda.gov.cn%2FWS01%2FCL1687%2F169945.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ns.qzone.qq.com/cgi-bin/qzshare/cgi_qzshare_onekey?url=http%3A%2F%2Fwww.sda.gov.cn%2FWS01%2FCL1687%2F169945.html&amp;title=%E6%80%BB%E5%B1%80%E5%85%B3%E4%BA%8E%E7%BB%8F%E8%90%A5%E7%8E%AF%E8%8A%82%E9%87%8D%E7%82%B9%E6%B0%B4%E4%BA%A7%E5%93%81%E4%B8%93%E9%A1%B9%E6%A3%80%E6%9F%A5%E7%BB%93%E6%9E%9C%E7%9A%84%E9%80%9A%E5%91%8A%EF%BC%882017%E5%B9%B4%E7%AC%AC34%E5%8F%B7%EF%BC%89&amp;api_key="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1731</Characters>
  <Application>Microsoft Office Word</Application>
  <DocSecurity>0</DocSecurity>
  <Lines>14</Lines>
  <Paragraphs>4</Paragraphs>
  <ScaleCrop>false</ScaleCrop>
  <Company>china</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2017-05-07T06:09:00Z</dcterms:created>
  <dcterms:modified xsi:type="dcterms:W3CDTF">2017-05-07T06:10:00Z</dcterms:modified>
</cp:coreProperties>
</file>