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4D54" w:rsidRDefault="00E24D54" w:rsidP="00E24D54">
      <w:pPr>
        <w:pStyle w:val="Heading"/>
        <w:jc w:val="center"/>
        <w:rPr>
          <w:color w:val="000000"/>
        </w:rPr>
      </w:pPr>
      <w:bookmarkStart w:id="0" w:name="_GoBack"/>
      <w:bookmarkEnd w:id="0"/>
      <w:r>
        <w:rPr>
          <w:vanish/>
          <w:color w:val="000000"/>
        </w:rPr>
        <w:t>#G0</w:t>
      </w: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  <w:r>
        <w:rPr>
          <w:vanish/>
          <w:color w:val="000000"/>
        </w:rPr>
        <w:t>#G0</w:t>
      </w:r>
    </w:p>
    <w:p w:rsidR="00E24D54" w:rsidRDefault="00E24D54" w:rsidP="00E24D54">
      <w:pPr>
        <w:pStyle w:val="Heading"/>
        <w:jc w:val="center"/>
        <w:rPr>
          <w:color w:val="000000"/>
        </w:rPr>
      </w:pPr>
      <w:r>
        <w:rPr>
          <w:color w:val="000000"/>
        </w:rPr>
        <w:t>Глава 1.4</w:t>
      </w: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ВЫБОР ЭЛЕКТРИЧЕСКИХ АППАРАТОВ И ПРОВОДНИКОВ </w:t>
      </w:r>
    </w:p>
    <w:p w:rsidR="00E24D54" w:rsidRDefault="00E24D54" w:rsidP="00E24D54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ПО УСЛОВИЯМ КОРОТКОГО ЗАМЫКАНИЯ </w:t>
      </w: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ОБЛАСТЬ ПРИМЕНЕНИЯ 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1.4.1. Настоящая глава Правил распространяется на выбор и применение по условиям КЗ электрических аппаратов и проводников в электроустановках переменного тока частотой 50 Гц, напряжением до и выше 1 кВ.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  <w:r>
        <w:rPr>
          <w:color w:val="000000"/>
        </w:rPr>
        <w:t>ОБЩИЕ ТРЕБОВАНИЯ</w:t>
      </w: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1.4.2. По режиму КЗ должны проверяться (исключения см. в 1.4.3):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 В электроустановках выше 1 кВ: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а) электрические аппараты, токопроводы, кабели и другие проводники, а также опорные и несущие конструкции для них;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б) воздушные линии электропередачи при ударном токе КЗ 50 кА и более для предупреждения схлестывания проводов при динамическом действии токов КЗ.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Кроме того, для линий с расщепленными проводами должны быть проверены расстояния между распорками расщепленных проводов для предупреждения повреждения распорок и проводов при схлестывании.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Провода ВЛ, оборудованные устройствами быстродействующего автоматического повторного включения, следует проверять и на термическую стойкость.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2. В электроустановках до 1 кВ - только распределительные щиты, токопроводы и силовые шкафы. Трансформаторы тока по режиму КЗ не проверяются.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Аппараты, которые предназначены для отключения токов КЗ или могут по условиям своей работы включать короткозамкнутую цепь, должны, кроме того, обладать способностью производить эти операции при всех возможных токах КЗ.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Стойкими при токах КЗ являются те аппараты и проводники, которые при расчетных условиях выдерживают воздействия этих токов, не подвергаясь электрическим, механическим и иным разрушениям или деформациям, препятствующим их дальнейшей нормальной эксплуатации.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1.4.3. По режиму КЗ при напряжении выше 1 кВ не проверяются: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 Аппараты и проводники, защищенные плавкими предохранителями с вставками на номинальный ток до 60 А, - по электродинамической стойкости.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2. Аппараты и проводники, защищенные плавкими предохранителями независимо от их номинального тока и типа, - по термической стойкости.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Цепь считается защищенной плавким предохранителем, если его отключающая способность выбрана в соответствии с требованиями настоящих Правил и он способен отключить наименьший возможный аварийный ток в данной цепи.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3. Проводники в цепях к индивидуальным электроприемникам, в том числе к цеховым трансформаторам общей мощностью до 2,5 МВ·А и с высшим напряжением до 20 кВ, если соблюдены одновременно следующие условия: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а) в электрической или технологической части предусмотрена необходимая степень резервирования, выполненного так, что отключение указанных электроприемников не вызывает расстройства технологического процесса;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б) повреждение проводника при КЗ не может вызвать взрыва или пожара;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в) возможна замена проводника без значительных затруднений.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4. Проводники к индивидуальным электроприемникам, указанным в п. 3, а также к отдельным небольшим распределительным пунктам, если такие электроприемники и распределительные пункты являются неответственными по своему назначению и если для них выполнено хотя бы только условие, приведенное в п. 3, б.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5. Трансформаторы тока в цепях до 20 кВ, питающих трансформаторы или реактированные линии, в случаях, когда выбор трансформаторов тока по условиям КЗ требует такого завышения коэффициентов трансформации, при котором не может быть обеспечен необходимый класс точности присоединенных измерительных приборов (например, расчетных счетчиков); при этом на стороне высшего напряжения в цепях силовых трансформаторов рекомендуется избегать применения трансформаторов тока, не стойких к току КЗ, а приборы учета рекомендуется присоединять к трансформаторам тока на стороне низшего напряжения.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6. Провода ВЛ (см. также 1.4.2, п. 1, б).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7. Аппараты и шины цепей трансформаторов напряжения при расположении их в отдельной камере или за добавочным резистором, встроенным в предохранитель или установленным отдельно.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1.4.4. При выборе расчетной схемы для определения токов КЗ следует исходить из предусматриваемых для данной электроустановки условий длительной ее работы и не считаться с кратковременными видоизменениями схемы этой электроустановки, которые не предусмотрены для длительной эксплуатации (например, при переключениях). Ремонтные и </w:t>
      </w:r>
      <w:r>
        <w:rPr>
          <w:color w:val="000000"/>
        </w:rPr>
        <w:lastRenderedPageBreak/>
        <w:t>послеаварийные режимы работы электроустановки к кратковременным изменениям схемы не относятся.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Расчетная схема должна учитывать перспективу развития внешних сетей и генерирующих источников, с которыми электрически связывается рассматриваемая установка, не менее чем на 5 лет от запланированного срока ввода ее в эксплуатацию.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При этом допустимо вести расчет токов КЗ приближенно для начального момента КЗ.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1.4.5. В качестве расчетного вида КЗ следует принимать: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 Для определения электродинамической стойкости аппаратов и жестких шин с относящимися к ним поддерживающими и опорными конструкциями - трехфазное КЗ.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2. Для определения термической стойкости аппаратов и проводников - трехфазное КЗ; на генераторном напряжении электростанций - трехфазное или двухфазное в зависимости от того, какое из них приводит к большему нагреву.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3. Для выбора аппаратов по коммутационной способности - по большему из значений, получаемых для случаев трехфазного и однофазного КЗ на землю (в сетях с большими токами замыкания на землю); если выключатель характеризуется двумя значениями коммутационной способности - трехфазной и однофазной - соответственно по обоим значениям.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1.4.6. Расчетный ток КЗ следует определять, исходя из условия повреждения в такой точке рассматриваемой цепи, при КЗ в которой аппараты и проводники этой цепи находятся в наиболее тяжелых условиях (исключения см. в 1.4.7 и 1.4.17, п. 3). Со случаями одновременного замыкания на землю различных фаз в двух разных точках схемы допустимо не считаться.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1.4.7. На реактированных линиях в закрытых распределительных устройствах проводники и аппараты, расположенные до реактора и отделенные от питающих сборных шин (на ответвлениях от линий - от элементов основной цепи) разделяющими полками, перекрытиями и т. п., набираются по току КЗ за реактором, если последний расположен в том же здании и соединение выполнено шинами.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Шинные ответвления от сборных шин до разделяющих полок и проходные изоляторы в последних должны быть выбраны исходя из КЗ до реактора.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1.4.8. При расчете термической стойкости в качестве расчетного времени следует принимать сумму времен, получаемую от сложения времени действия основной защиты (с учетом действия АПВ), установленной у ближайшего к месту КЗ выключателя, и полного времени отключения этого выключателя (включая время горения дуги).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При наличии зоны нечувствительности у основной защиты (по току, напряжению, сопротивлению и т. п.) термическую стойкость необходимо дополнительно проверять, исходя из времени действия защиты, реагирующей на повреждение в этой зоне, плюс полное время отключения выключателя. При этом в качестве расчетного тока КЗ следует принимать то значение его, которое соответствует этому месту повреждения.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Аппаратура и токопроводы, применяемые в цепях генераторов мощностью 60 МВт и более, а также в цепях блоков генератор - трансформатор такой же мощности, должны проверяться по термической стойкости, исходя из времени прохождения тока КЗ 4 с.</w:t>
      </w: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ОПРЕДЕЛЕНИЕ ТОКОВ КОРОТКОГО ЗАМЫКАНИЯ </w:t>
      </w:r>
    </w:p>
    <w:p w:rsidR="00E24D54" w:rsidRDefault="00E24D54" w:rsidP="00E24D54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ДЛЯ ВЫБОРА АППАРАТОВ И ПРОВОДНИКОВ 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1.4.9. В электроустановках до 1 кВ и выше при определении токов КЗ для выбора аппаратов и проводников и определения воздействия на несущие конструкции следует исходить из следующего: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 Все источники, участвующие в питании рассматриваемой точки КЗ, работают одновременно с номинальной нагрузкой.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2. Все синхронные машины имеют автоматические регуляторы напряжения и устройства форсировки возбуждения.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3. Короткое замыкание наступает в такой момент времени, при котором ток КЗ будет иметь наибольшее значение.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4. Электродвижущие силы всех источников питания совпадают по фазе.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5. Расчетное напряжение каждой ступени принимается на 5% выше номинального напряжения сети.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6. Должно учитываться влияние на токи КЗ присоединенных к данной сети синхронных компенсаторов, синхронных и асинхронных электродвигателей. Влияние асинхронных электродвигателей на токи КЗ не  учитывается при мощности электродвигателей до 100 кВт в единице, если электродвигатели отделены от места КЗ одной ступенью трансформации, а также при любой мощности, если они отделены от места КЗ двумя или более ступенями трансформации либо если ток от них может поступать к месту КЗ только через те элементы, через которые проходит основной ток КЗ от сети и которые имеют существенное сопротивление (линии, трансформаторы и т. п.).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1.4.10. В электроустановках выше 1 кВ в качестве расчетных сопротивлений следует принимать индуктивные сопротивления электрических машин, силовых трансформаторов и автотрансформаторов, реакторов, воздушных и кабельных линий, а также токопроводов. Активное сопротивление следует учитывать только для ВЛ с проводами малых сечений и стальными проводами, а также для протяженных кабельных сетей малых сечений с большим активным сопротивлением. 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1.4.11. В электроустановках до 1 кВ в качестве расчетных сопротивлений следует принимать индуктивные и активные сопротивления всех элементов цепи, включая активные сопротивления переходных контактов цепи. Допустимо пренебречь сопротивлениями одного </w:t>
      </w:r>
      <w:r>
        <w:rPr>
          <w:color w:val="000000"/>
        </w:rPr>
        <w:lastRenderedPageBreak/>
        <w:t>вида (активными или индуктивными), если при этом полное сопротивление цепи уменьшается не более чем на 10%.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1.4.12. В случае питания электрических сетей до 1 кВ от понижающих трансформаторов при расчете токов КЗ следует исходить из условия, что подведенное к трансформатору напряжение неизменно и равно его номинальному напряжению.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1.4.1З. Элементы цепи, защищенной плавким предохранителем с токоограничивающим действием, следует проверять на электродинамическую стойкость по наибольшему мгновенному значению тока КЗ, пропускаемого предохранителем.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ВЫБОР ПРОВОДНИКОВ И ИЗОЛЯТОРОВ, ПРОВЕРКА НЕСУЩИХ </w:t>
      </w:r>
    </w:p>
    <w:p w:rsidR="00E24D54" w:rsidRDefault="00E24D54" w:rsidP="00E24D54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КОНСТРУКЦИЙ ПО УСЛОВИЯМ ДИНАМИЧЕСКОГО ДЕЙСТВИЯ </w:t>
      </w:r>
    </w:p>
    <w:p w:rsidR="00E24D54" w:rsidRDefault="00E24D54" w:rsidP="00E24D54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ТОКОВ КОРОТКОГО ЗАМЫКАНИЯ 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 xml:space="preserve">1.4.14. Усилия, действующие на жесткие шины и передающиеся ими на изоляторы и поддерживающие жесткие конструкции, следует рассчитывать по наибольшему мгновенному значению тока трехфазного КЗ </w:t>
      </w:r>
      <w:r w:rsidR="007E3DD2" w:rsidRPr="002C2AB7">
        <w:rPr>
          <w:noProof/>
          <w:color w:val="000000"/>
          <w:position w:val="-13"/>
        </w:rPr>
        <w:drawing>
          <wp:inline distT="0" distB="0" distL="0" distR="0">
            <wp:extent cx="142875" cy="2381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с учетом сдвига между токами в фазах и без учета механических колебаний шинной конструкции. В отдельных случаях (например, при предельных расчетных механических напряжениях) могут быть учтены механические колебания шин и шинных конструкций.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Импульсы силы, действующие на гибкие проводники и поддерживающие их изоляторы, выводы и конструкции, рассчитываются по среднеквадратическому (за время прохождения) току двухфазного замыкания между соседними фазами. При расщепленных проводниках и гибких токопроводах взаимодействие токов КЗ в проводниках одной и той же фазы определяется по действующему значению тока трехфазного КЗ.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Гибкие токопроводы должны проверяться на схлестывание.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1.4.15. Найденные расчетом в соответствии с 1.4.14 механические усилия, передающиеся при КЗ жесткими шинами на опорные и проходные изоляторы, должны составить в случае применения одиночных изоляторов не более 60% соответствующих гарантийных значений наименьшего разрушающего усилия; при спаренных опорных изоляторах - не более 100% разрушающего усилия одного изолятора.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При применении шин составных профилей (многополосные, из двух швеллеров и т. д.) механические напряжения находятся как арифметическая сумма напряжений от взаимодействия фаз и взаимодействия элементов каждой шины между собой.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Наибольшие механические напряжения в материале жестких шин не должны превосходить 0,7 временного сопротивления разрыву по ГОСТ.</w:t>
      </w: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ВЫБОР ПРОВОДНИКОВ ПО УСЛОВИЯМ НАГРЕВА ПРИ КОРОТКОМ ЗАМЫКАНИИ 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1.4.16. Температура нагрева проводников при КЗ должна быть не выше следующих предельно допустимых значений, °С: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Шины: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7650"/>
        <w:gridCol w:w="855"/>
      </w:tblGrid>
      <w:tr w:rsidR="00E24D54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медные </w:t>
            </w:r>
            <w:r>
              <w:rPr>
                <w:rFonts w:ascii="Courier New" w:hAnsi="Courier New" w:cs="Courier New"/>
                <w:color w:val="000000"/>
              </w:rPr>
              <w:t>+++++</w:t>
            </w:r>
            <w:r>
              <w:rPr>
                <w:color w:val="000000"/>
              </w:rPr>
              <w:t>..................................</w:t>
            </w:r>
          </w:p>
          <w:p w:rsidR="00E24D54" w:rsidRDefault="00E24D54">
            <w:pPr>
              <w:rPr>
                <w:color w:val="00000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300 </w:t>
            </w:r>
          </w:p>
        </w:tc>
      </w:tr>
      <w:tr w:rsidR="00E24D54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алюминиевые  </w:t>
            </w:r>
            <w:r>
              <w:rPr>
                <w:rFonts w:ascii="Courier New" w:hAnsi="Courier New" w:cs="Courier New"/>
                <w:color w:val="000000"/>
              </w:rPr>
              <w:t>++++</w:t>
            </w:r>
            <w:r>
              <w:rPr>
                <w:color w:val="000000"/>
              </w:rPr>
              <w:t xml:space="preserve">............................. </w:t>
            </w:r>
          </w:p>
          <w:p w:rsidR="00E24D54" w:rsidRDefault="00E24D54">
            <w:pPr>
              <w:rPr>
                <w:color w:val="00000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200 </w:t>
            </w:r>
          </w:p>
        </w:tc>
      </w:tr>
      <w:tr w:rsidR="00E24D54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>стальные, не имеющие непосредственного соединения с аппаратами  ..</w:t>
            </w:r>
          </w:p>
          <w:p w:rsidR="00E24D54" w:rsidRDefault="00E24D54">
            <w:pPr>
              <w:rPr>
                <w:color w:val="000000"/>
              </w:rPr>
            </w:pP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400 </w:t>
            </w:r>
          </w:p>
        </w:tc>
      </w:tr>
      <w:tr w:rsidR="00E24D54">
        <w:tblPrEx>
          <w:tblCellMar>
            <w:top w:w="0" w:type="dxa"/>
            <w:bottom w:w="0" w:type="dxa"/>
          </w:tblCellMar>
        </w:tblPrEx>
        <w:tc>
          <w:tcPr>
            <w:tcW w:w="7650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>стальные с непосредственным присоединением к аппаратам  ...</w:t>
            </w:r>
            <w:r>
              <w:rPr>
                <w:rFonts w:ascii="Courier New" w:hAnsi="Courier New" w:cs="Courier New"/>
                <w:color w:val="000000"/>
              </w:rPr>
              <w:t>++++</w:t>
            </w:r>
          </w:p>
        </w:tc>
        <w:tc>
          <w:tcPr>
            <w:tcW w:w="855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300 </w:t>
            </w:r>
          </w:p>
        </w:tc>
      </w:tr>
    </w:tbl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Кабели с бумажной пропитанной изоляцией на напряжение, кВ: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6060"/>
        <w:gridCol w:w="1305"/>
      </w:tblGrid>
      <w:tr w:rsidR="00E24D54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>до 10 ......</w:t>
            </w:r>
            <w:r>
              <w:rPr>
                <w:rFonts w:ascii="Courier New" w:hAnsi="Courier New" w:cs="Courier New"/>
                <w:color w:val="000000"/>
              </w:rPr>
              <w:t>+++++++++++</w:t>
            </w:r>
            <w:r>
              <w:rPr>
                <w:color w:val="000000"/>
              </w:rPr>
              <w:t>..</w:t>
            </w:r>
          </w:p>
          <w:p w:rsidR="00E24D54" w:rsidRDefault="00E24D54">
            <w:pPr>
              <w:rPr>
                <w:color w:val="00000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200 </w:t>
            </w:r>
          </w:p>
        </w:tc>
      </w:tr>
      <w:tr w:rsidR="00E24D54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20-220 </w:t>
            </w:r>
            <w:r>
              <w:rPr>
                <w:rFonts w:ascii="Courier New" w:hAnsi="Courier New" w:cs="Courier New"/>
                <w:color w:val="000000"/>
              </w:rPr>
              <w:t>++++++++++++</w:t>
            </w:r>
            <w:r>
              <w:rPr>
                <w:color w:val="000000"/>
              </w:rPr>
              <w:t>..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125 </w:t>
            </w:r>
          </w:p>
        </w:tc>
      </w:tr>
    </w:tbl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Кабели и изолированные провода с медными и алюминиевыми жилами и изоляцией: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6060"/>
        <w:gridCol w:w="1305"/>
      </w:tblGrid>
      <w:tr w:rsidR="00E24D54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>поливинилхлоридной и резиновой ..</w:t>
            </w:r>
            <w:r>
              <w:rPr>
                <w:rFonts w:ascii="Courier New" w:hAnsi="Courier New" w:cs="Courier New"/>
                <w:color w:val="000000"/>
              </w:rPr>
              <w:t>+++++++</w:t>
            </w:r>
          </w:p>
          <w:p w:rsidR="00E24D54" w:rsidRDefault="00E24D54">
            <w:pPr>
              <w:rPr>
                <w:color w:val="00000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150 </w:t>
            </w:r>
          </w:p>
        </w:tc>
      </w:tr>
      <w:tr w:rsidR="00E24D54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полиэтиленовой </w:t>
            </w:r>
            <w:r>
              <w:rPr>
                <w:rFonts w:ascii="Courier New" w:hAnsi="Courier New" w:cs="Courier New"/>
                <w:color w:val="000000"/>
              </w:rPr>
              <w:t>++++++++++++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120 </w:t>
            </w:r>
          </w:p>
        </w:tc>
      </w:tr>
    </w:tbl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Медные неизолированные провода при тяжениях, Н/мм</w:t>
      </w:r>
      <w:r w:rsidR="007E3DD2" w:rsidRPr="002C2AB7">
        <w:rPr>
          <w:noProof/>
          <w:color w:val="000000"/>
          <w:position w:val="-4"/>
        </w:rPr>
        <w:drawing>
          <wp:inline distT="0" distB="0" distL="0" distR="0">
            <wp:extent cx="104775" cy="190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: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6060"/>
        <w:gridCol w:w="1305"/>
      </w:tblGrid>
      <w:tr w:rsidR="00E24D54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менее 20 </w:t>
            </w:r>
            <w:r>
              <w:rPr>
                <w:rFonts w:ascii="Courier New" w:hAnsi="Courier New" w:cs="Courier New"/>
                <w:color w:val="000000"/>
              </w:rPr>
              <w:t>+++++++++++++++++++</w:t>
            </w:r>
          </w:p>
          <w:p w:rsidR="00E24D54" w:rsidRDefault="00E24D54">
            <w:pPr>
              <w:rPr>
                <w:color w:val="00000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250 </w:t>
            </w:r>
          </w:p>
        </w:tc>
      </w:tr>
      <w:tr w:rsidR="00E24D54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20 и более </w:t>
            </w:r>
            <w:r>
              <w:rPr>
                <w:rFonts w:ascii="Courier New" w:hAnsi="Courier New" w:cs="Courier New"/>
                <w:color w:val="000000"/>
              </w:rPr>
              <w:t>+++++++++++++++++</w:t>
            </w:r>
            <w:r>
              <w:rPr>
                <w:color w:val="000000"/>
              </w:rPr>
              <w:t xml:space="preserve">. 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200 </w:t>
            </w:r>
          </w:p>
        </w:tc>
      </w:tr>
    </w:tbl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Алюминиевые неизолированные провода при тяжениях, Н/мм</w:t>
      </w:r>
      <w:r w:rsidR="007E3DD2" w:rsidRPr="002C2AB7">
        <w:rPr>
          <w:noProof/>
          <w:color w:val="000000"/>
          <w:position w:val="-4"/>
        </w:rPr>
        <w:drawing>
          <wp:inline distT="0" distB="0" distL="0" distR="0">
            <wp:extent cx="104775" cy="1905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00000"/>
        </w:rPr>
        <w:t>: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tbl>
      <w:tblPr>
        <w:tblW w:w="0" w:type="auto"/>
        <w:tblInd w:w="45" w:type="dxa"/>
        <w:tblLayout w:type="fixed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6060"/>
        <w:gridCol w:w="1305"/>
      </w:tblGrid>
      <w:tr w:rsidR="00E24D54">
        <w:tblPrEx>
          <w:tblCellMar>
            <w:top w:w="0" w:type="dxa"/>
            <w:bottom w:w="0" w:type="dxa"/>
          </w:tblCellMar>
        </w:tblPrEx>
        <w:trPr>
          <w:hidden/>
        </w:trPr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vanish/>
                <w:color w:val="000000"/>
              </w:rPr>
              <w:t>#G0</w:t>
            </w:r>
            <w:r>
              <w:rPr>
                <w:color w:val="000000"/>
              </w:rPr>
              <w:t xml:space="preserve">менее 10 </w:t>
            </w:r>
            <w:r>
              <w:rPr>
                <w:rFonts w:ascii="Courier New" w:hAnsi="Courier New" w:cs="Courier New"/>
                <w:color w:val="000000"/>
              </w:rPr>
              <w:t>+++++++++++</w:t>
            </w:r>
          </w:p>
          <w:p w:rsidR="00E24D54" w:rsidRDefault="00E24D54">
            <w:pPr>
              <w:rPr>
                <w:color w:val="000000"/>
              </w:rPr>
            </w:pP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200 </w:t>
            </w:r>
          </w:p>
        </w:tc>
      </w:tr>
      <w:tr w:rsidR="00E24D54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 xml:space="preserve">10 и более </w:t>
            </w:r>
            <w:r>
              <w:rPr>
                <w:rFonts w:ascii="Courier New" w:hAnsi="Courier New" w:cs="Courier New"/>
                <w:color w:val="000000"/>
              </w:rPr>
              <w:t>++++++++++++</w:t>
            </w:r>
            <w:r>
              <w:rPr>
                <w:color w:val="000000"/>
              </w:rPr>
              <w:t>.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>160</w:t>
            </w:r>
          </w:p>
          <w:p w:rsidR="00E24D54" w:rsidRDefault="00E24D54">
            <w:pPr>
              <w:rPr>
                <w:color w:val="000000"/>
              </w:rPr>
            </w:pPr>
          </w:p>
        </w:tc>
      </w:tr>
      <w:tr w:rsidR="00E24D54">
        <w:tblPrEx>
          <w:tblCellMar>
            <w:top w:w="0" w:type="dxa"/>
            <w:bottom w:w="0" w:type="dxa"/>
          </w:tblCellMar>
        </w:tblPrEx>
        <w:tc>
          <w:tcPr>
            <w:tcW w:w="6060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>Алюминиевая часть сталеалюминиевых проводов ......</w:t>
            </w:r>
          </w:p>
        </w:tc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</w:tcPr>
          <w:p w:rsidR="00E24D54" w:rsidRDefault="00E24D54">
            <w:pPr>
              <w:rPr>
                <w:color w:val="000000"/>
              </w:rPr>
            </w:pPr>
            <w:r>
              <w:rPr>
                <w:color w:val="000000"/>
              </w:rPr>
              <w:t>200</w:t>
            </w:r>
          </w:p>
          <w:p w:rsidR="00E24D54" w:rsidRDefault="00E24D54">
            <w:pPr>
              <w:rPr>
                <w:color w:val="000000"/>
              </w:rPr>
            </w:pPr>
          </w:p>
        </w:tc>
      </w:tr>
    </w:tbl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1.4.17. Проверка кабелей на нагрев токами КЗ в тех случаях, когда это требуется в соответствии с 1.4.2 и 1.4.3, должна производиться для: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1) одиночных кабелей одной строительной длины, исходя из КЗ в начале кабеля;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lastRenderedPageBreak/>
        <w:t>2) одиночных кабелей со ступенчатыми сечениями по длине, исходя из КЗ в начале каждого участка нового сечения;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3) пучка из двух и более параллельно включенных кабелей, исходя из КЗ непосредственно за пучком (по сквозному току КЗ).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1.4.18. При проверке на термическую стойкость аппаратов и проводников линий, оборудованных устройствами быстродействующего АПВ, должно учитываться повышение нагрева из-за увеличения суммарной продолжительности прохождения тока КЗ по таким линиям.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Расщепленные провода ВЛ при проверке на нагрев в условиях КЗ рассматриваются как один провод суммарного сечения.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  <w:r>
        <w:rPr>
          <w:color w:val="000000"/>
        </w:rPr>
        <w:t>ВЫБОР АППАРАТОВ ПО КОММУТАЦИОННОЙ</w:t>
      </w:r>
    </w:p>
    <w:p w:rsidR="00E24D54" w:rsidRDefault="00E24D54" w:rsidP="00E24D54">
      <w:pPr>
        <w:pStyle w:val="Heading"/>
        <w:jc w:val="center"/>
        <w:rPr>
          <w:color w:val="000000"/>
        </w:rPr>
      </w:pPr>
      <w:r>
        <w:rPr>
          <w:color w:val="000000"/>
        </w:rPr>
        <w:t xml:space="preserve"> СПОСОБНОСТИ</w:t>
      </w: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pStyle w:val="Heading"/>
        <w:jc w:val="center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1.4.19. Выключатели выше 1 кВ следует выбирать: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1) по отключающей способности с учетом параметров восстанавливающегося напряжения;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2) по включающей способности. При этом выключатели генераторов, установленные на стороне генераторного напряжения, проверяются только на несинхронное включение в условиях противофазы.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1.4.20. Предохранители следует выбирать по отключающей способности. При этом в качестве расчетного тока следует принимать действующее значение периодической составляющей начального тока КЗ без учета токоограничивающей способности предохранителей.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1.4.21. Выключатели нагрузки и короткозамыкатели следует выбирать по предельно допустимому току, возникающему при включении на КЗ.</w:t>
      </w:r>
    </w:p>
    <w:p w:rsidR="00E24D54" w:rsidRDefault="00E24D54" w:rsidP="00E24D54">
      <w:pPr>
        <w:ind w:firstLine="225"/>
        <w:jc w:val="both"/>
        <w:rPr>
          <w:color w:val="000000"/>
        </w:rPr>
      </w:pPr>
    </w:p>
    <w:p w:rsidR="00E24D54" w:rsidRDefault="00E24D54" w:rsidP="00E24D54">
      <w:pPr>
        <w:ind w:firstLine="225"/>
        <w:jc w:val="both"/>
        <w:rPr>
          <w:color w:val="000000"/>
        </w:rPr>
      </w:pPr>
      <w:r>
        <w:rPr>
          <w:color w:val="000000"/>
        </w:rPr>
        <w:t>1.4.22. Отделители и разъединители не требуется проверять по коммутационной способности при КЗ. При использовании отделителей и разъединителей для отключения-включения ненагруженных линий, ненагруженных трансформаторов или уравнительных токов параллельных цепей отделители и разъединители следует проверять по режиму такого отключения-включения.</w:t>
      </w:r>
    </w:p>
    <w:p w:rsidR="00E24D54" w:rsidRDefault="00E24D54"/>
    <w:sectPr w:rsidR="00E24D54" w:rsidSect="00E24D54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D54"/>
    <w:rsid w:val="007E3DD2"/>
    <w:rsid w:val="008C28A6"/>
    <w:rsid w:val="00E2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410ED7-4738-40E9-BCF0-D059A0A6E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semiHidden/>
  </w:style>
  <w:style w:type="paragraph" w:customStyle="1" w:styleId="Heading">
    <w:name w:val="Heading"/>
    <w:rsid w:val="00E24D54"/>
    <w:pPr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paragraph" w:customStyle="1" w:styleId="Preformat">
    <w:name w:val="Preformat"/>
    <w:rsid w:val="00E24D54"/>
    <w:pPr>
      <w:autoSpaceDE w:val="0"/>
      <w:autoSpaceDN w:val="0"/>
      <w:adjustRightInd w:val="0"/>
    </w:pPr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2159</Words>
  <Characters>12312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vsep</Company>
  <LinksUpToDate>false</LinksUpToDate>
  <CharactersWithSpaces>14443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Aleksander Kirillov</cp:lastModifiedBy>
  <cp:revision>2</cp:revision>
  <dcterms:created xsi:type="dcterms:W3CDTF">2026-01-29T19:52:00Z</dcterms:created>
  <dcterms:modified xsi:type="dcterms:W3CDTF">2026-01-29T19:52:00Z</dcterms:modified>
</cp:coreProperties>
</file>