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CD8" w:rsidRDefault="009F2CD8" w:rsidP="009F2CD8">
      <w:pPr>
        <w:rPr>
          <w:color w:val="000000"/>
        </w:rPr>
      </w:pPr>
      <w:bookmarkStart w:id="0" w:name="_GoBack"/>
      <w:bookmarkEnd w:id="0"/>
    </w:p>
    <w:p w:rsidR="009F2CD8" w:rsidRDefault="009F2CD8" w:rsidP="009F2CD8">
      <w:pPr>
        <w:pStyle w:val="Heading"/>
        <w:jc w:val="center"/>
        <w:rPr>
          <w:color w:val="000000"/>
        </w:rPr>
      </w:pPr>
      <w:r>
        <w:rPr>
          <w:vanish/>
          <w:color w:val="000000"/>
        </w:rPr>
        <w:t>#G0</w:t>
      </w:r>
    </w:p>
    <w:p w:rsidR="009F2CD8" w:rsidRDefault="009F2CD8" w:rsidP="009F2CD8">
      <w:pPr>
        <w:pStyle w:val="Heading"/>
        <w:jc w:val="center"/>
        <w:rPr>
          <w:color w:val="000000"/>
        </w:rPr>
      </w:pPr>
      <w:r>
        <w:rPr>
          <w:color w:val="000000"/>
        </w:rPr>
        <w:t>Глава 1.5</w:t>
      </w:r>
    </w:p>
    <w:p w:rsidR="009F2CD8" w:rsidRDefault="009F2CD8" w:rsidP="009F2CD8">
      <w:pPr>
        <w:pStyle w:val="Heading"/>
        <w:jc w:val="center"/>
        <w:rPr>
          <w:color w:val="000000"/>
        </w:rPr>
      </w:pPr>
    </w:p>
    <w:p w:rsidR="009F2CD8" w:rsidRDefault="009F2CD8" w:rsidP="009F2CD8">
      <w:pPr>
        <w:pStyle w:val="Heading"/>
        <w:jc w:val="center"/>
        <w:rPr>
          <w:color w:val="000000"/>
        </w:rPr>
      </w:pPr>
      <w:r>
        <w:rPr>
          <w:color w:val="000000"/>
        </w:rPr>
        <w:t xml:space="preserve"> УЧЕТ ЭЛЕКТРОЭНЕРГИИ </w:t>
      </w:r>
    </w:p>
    <w:p w:rsidR="009F2CD8" w:rsidRDefault="009F2CD8" w:rsidP="009F2CD8">
      <w:pPr>
        <w:pStyle w:val="Heading"/>
        <w:jc w:val="center"/>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r>
        <w:rPr>
          <w:color w:val="000000"/>
        </w:rPr>
        <w:t xml:space="preserve">ОБЛАСТЬ ПРИМЕНЕНИЯ, ОПРЕДЕЛЕНИЯ </w:t>
      </w:r>
    </w:p>
    <w:p w:rsidR="009F2CD8" w:rsidRDefault="009F2CD8" w:rsidP="009F2CD8">
      <w:pPr>
        <w:ind w:firstLine="225"/>
        <w:jc w:val="both"/>
        <w:rPr>
          <w:color w:val="000000"/>
        </w:rPr>
      </w:pP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1.5.1. Настоящая глава Правил содержит требования к учету электроэнергии в электроустановках. Дополнительные требования к учету электроэнергии в жилых и общественных зданиях приведены в гл. 7.1.</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1.5.2. Расчетным учетом электроэнергии называется учет выработанной, а также отпущенной потребителям электроэнергии для денежного расчета за нее.</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Счетчики, устанавливаемые для расчетного учета, называются расчетными счетчиками.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1.5.3. Техническим (контрольным) учетом электроэнергии называется учет для контроля расхода электроэнергии внутри электростанций, подстанций, предприятий, в зданиях, квартирах и т. п.</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Счетчики, устанавливаемые для технического учета, называются счетчиками технического учета.</w:t>
      </w:r>
    </w:p>
    <w:p w:rsidR="009F2CD8" w:rsidRDefault="009F2CD8" w:rsidP="009F2CD8">
      <w:pPr>
        <w:pStyle w:val="Heading"/>
        <w:jc w:val="center"/>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r>
        <w:rPr>
          <w:color w:val="000000"/>
        </w:rPr>
        <w:t xml:space="preserve">ОБЩИЕ ТРЕБОВАНИЯ </w:t>
      </w:r>
    </w:p>
    <w:p w:rsidR="009F2CD8" w:rsidRDefault="009F2CD8" w:rsidP="009F2CD8">
      <w:pPr>
        <w:ind w:firstLine="225"/>
        <w:jc w:val="both"/>
        <w:rPr>
          <w:color w:val="000000"/>
        </w:rPr>
      </w:pP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1.5.4. Учет активной электроэнергии должен обеспечивать определение количества энергии: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 выработанной генераторами электростанций;</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2) потребленной на собственные и хозяйственные (раздельно) нужды электростанций и подстанций;</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3) отпущенной потребителям по линиям, отходящим от шин электростанции непосредственно к потребителям;</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4) переданной в другие энергосистемы или полученной от них;</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5) отпущенной потребителям из электрической сети.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Кроме того, учет активной электроэнергии должен обеспечивать возможность:</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определения поступления электроэнергии в электрические сети разных классов напряжений энергосистемы;</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lastRenderedPageBreak/>
        <w:t>составления балансов электроэнергии для хозрасчетных подразделений энергосистемы;</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контроля за соблюдением потребителями заданных им режимов потребления и баланса электроэнергии.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1.5.5. Учет реактивной электроэнергии должен обеспечивать возможность определения количества реактивной электроэнергии, полученной потребителем от электроснабжающей организации или переданной ей, только в том случае, если по этим данным производятся расчеты или контроль соблюдения заданного режима работы компенсирующих устройств.</w:t>
      </w:r>
    </w:p>
    <w:p w:rsidR="009F2CD8" w:rsidRDefault="009F2CD8" w:rsidP="009F2CD8">
      <w:pPr>
        <w:pStyle w:val="Heading"/>
        <w:jc w:val="center"/>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r>
        <w:rPr>
          <w:color w:val="000000"/>
        </w:rPr>
        <w:t xml:space="preserve">ПУНКТЫ УСТАНОВКИ СРЕДСТВ УЧЕТА ЭЛЕКТРОЭНЕРГИИ </w:t>
      </w:r>
    </w:p>
    <w:p w:rsidR="009F2CD8" w:rsidRDefault="009F2CD8" w:rsidP="009F2CD8">
      <w:pPr>
        <w:ind w:firstLine="225"/>
        <w:jc w:val="both"/>
        <w:rPr>
          <w:color w:val="000000"/>
        </w:rPr>
      </w:pP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1.5.6. Счетчики для расчета электроснабжающей организации с потребителями электроэнергии рекомендуется устанавливать на границе раздела сети (по балансовой принадлежности) электроснабжающей организации и потребителя.</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1.5.7. Расчетные счетчики активной электроэнергии на электростанции должны устанавливаться:</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 для каждого генератора с таким расчетом, чтобы учитывалась вся выработанная генератором электроэнергия;</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2) для всех присоединений шин генераторного напряжения, по которым возможна реверсивная работа, - по два счетчика со стопорами;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3) для межсистемных линий электропередачи - два счетчика со стопорами, учитывающих отпущенную и полученную электроэнергию;</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4) для линий всех классов напряжений, отходящих от шин электростанций и принадлежащих потребителям (см. также 1.5.10).</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Для линий до 10 кВ, отходящих от шин электростанций, во всех случаях должны быть выполнены цепи учета, сборки зажимов (см. 1.5.23), а также предусмотрены места для установки счетчиков;</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5) для всех трансформаторов и линий, питающих шины основного напряжения (выше 1 кВ) собственных нужд (СН).</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Счетчики устанавливаются на стороне высшего напряжения; если трансформаторы СН электростанции питаются от шин 35 кВ и выше или ответвлением от блоков на напряжении выше 10 кВ, допускается установка счетчиков на стороне низшего напряжения трансформаторов;</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lastRenderedPageBreak/>
        <w:t>6) для линий хозяйственных нужд (например, питание механизмов и установок ремонтно-производственных баз) и посторонних потребителей, присоединенных к распределительному устройству СН электростанций;</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7) для каждого обходного выключателя или для шиносоединительного (междусекционного) выключателя, используемого в качестве обходного для присоединений, имеющих расчетный учет, - два счетчика со стопорами.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На электростанциях, оборудуемых системами централизованного сбора и обработки информации, указанные системы следует использовать для централизованного расчетного и технического учета электроэнергии. На остальных электростанциях рекомендуется применение автоматизированной системы учета электроэнергии.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1.5.8. На электростанциях мощностью до 1 МВт расчетные счетчики  активной электроэнергии должны устанавливаться только для генераторов и трансформаторов СН или только для трансформаторов СН и отходящих линий.</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1.5.9. Расчетные счетчики активной электроэнергии на подстанции энергосистемы должны устанавливаться:</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 для каждой отходящей линии электропередачи, принадлежащей потребителям (см. также 1.5.10);</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2) для межсистемных линий электропередачи - по два счетчика со стопорами, учитывающих отпущенную и полученную электроэнергию; при наличии ответвлений от этих линий в другие энергосистемы - по два счетчика со стопорами, учитывающих полученную и отпущенную электроэнергию, на вводах в подстанции этих энергосистем;</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3) на трансформаторах СН;</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4) для линий хозяйственных нужд или посторонних потребителей (поселок и т. п.), присоединенных к шинам СН.</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5) для каждого обходного выключателя или для шиносоединительного (междусекционного) выключателя, используемого в качестве обходного для присоединений, имеющих расчетный учет, - два счетчика со стопорами.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Для линий до 10 кВ во всех случаях должны быть выполнены цепи учета, сборки зажимов (см. 1.5.23), а также предусмотрены места для установки счетчиков.</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1.5.10. Расчетные счетчики, предусматриваемые в соответствии с 1.5.7, п. 4 и 1.5.9, п. 1, допускается устанавливать не на питающем, а на приемном конце линии у потребителя в случаях, когда трансформаторы тока на электростанциях и подстанциях, выбранные по току КЗ или по характеристикам дифференциальной защиты шин, не обеспечивают требуемой точности учета электроэнергии.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1.5.11. Расчетные счетчики активной электроэнергии на подстанции, принадлежащей потребителю, должны устанавливаться:</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lastRenderedPageBreak/>
        <w:t>1) на вводе (приемном конце) линии электропередачи в подстанцию потребителя в соответствии с 1.5.10 при отсутствии электрической связи с другой подстанцией энергосистемы или другого потребителя на питающем напряжении;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2) на стороне высшего напряжения трансформаторов подстанции потребителя при наличии электрической связи с другой подстанцией энергосистемы или наличии другого потребителя на питающем напряжении.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Допускается установка счетчиков на стороне низшего напряжения трансформаторов в случаях, когда трансформаторы тока, выбранные по току КЗ или по характеристикам дифференциальной защиты шин, не обеспечивают требуемой точности учета электроэнергии, а также когда у имеющихся встроенных трансформаторов тока отсутствует обмотка класса точности 0,5.</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В случае, когда установка дополнительных комплектов трансформаторов тока со стороны низшего напряжения силовых трансформаторов для включения расчетных счетчиков невозможна (КРУ, КРУН), допускается организация учета на отходящих линиях 6-10 кВ.</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Для предприятия, рассчитывающегося с электроснабжающей организацией по максимуму заявленной мощности, следует предусматривать установку счетчика с указателем максимума нагрузки при наличии одного пункта учета, при наличии двух или более пунктов учета - применение автоматизированной системы учета электроэнергии;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3) на стороне среднего и низшего напряжений силовых трансформаторов, если на стороне высшего напряжения применение измерительных трансформаторов не требуется для других целей;</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4) на трансформаторах СН, если электроэнергия, отпущенная на собственные нужды, не учитывается другими счетчиками; при этом счетчики рекомендуется устанавливать со стороны низшего напряжения;</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5) на границе раздела основного потребителя и постороннего потребителя (субабонента), если от линии или трансформаторов потребителей питается еще посторонний потребитель, находящийся на самостоятельном балансе.</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Для потребителей каждой тарификационной группы следует устанавливать отдельные расчетные счетчики.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1.5.12. Счетчики реактивной электроэнергии должны устанавливаться:</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 на тех же элементах схемы, на которых установлены счетчики активной электроэнергии для потребителей, рассчитывающихся за электроэнергию с учетом разрешенной к использованию реактивной мощности;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2) на присоединениях источников реактивной мощности потребителей, если по ним производится расчет за электроэнергию, выданную в сеть энергосистемы, или осуществляется контроль заданного режима работы.</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lastRenderedPageBreak/>
        <w:t>Если со стороны предприятия с согласия энергосистемы производится выдача реактивной электроэнергии в сеть энергосистемы, необходимо устанавливать два счетчика реактивной электроэнергии со стопорами в тех элементах схемы, где установлен расчетный счетчик активной электроэнергии. Во всех других случаях должен устанавливаться один счетчик реактивной электроэнергии со стопором.</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Для предприятия, рассчитывающегося с энергоснабжающей организацией по максимуму разрешенной реактивной мощности, следует предусматривать установку счетчика с указателем максимума нагрузки, при наличии двух или более пунктов учета - применение автоматизированной системы учета электроэнергии.</w:t>
      </w:r>
    </w:p>
    <w:p w:rsidR="009F2CD8" w:rsidRDefault="009F2CD8" w:rsidP="009F2CD8">
      <w:pPr>
        <w:pStyle w:val="Heading"/>
        <w:jc w:val="center"/>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r>
        <w:rPr>
          <w:color w:val="000000"/>
        </w:rPr>
        <w:t xml:space="preserve">ТРЕБОВАНИЯ К РАСЧЕТНЫМ СЧЕТЧИКАМ </w:t>
      </w:r>
    </w:p>
    <w:p w:rsidR="009F2CD8" w:rsidRDefault="009F2CD8" w:rsidP="009F2CD8">
      <w:pPr>
        <w:ind w:firstLine="225"/>
        <w:jc w:val="both"/>
        <w:rPr>
          <w:color w:val="000000"/>
        </w:rPr>
      </w:pP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1.5.13. Каждый установленный расчетный счетчик должен иметь на винтах, крепящих кожух счетчика, пломбы с клеймом госповерителя, а на зажимной крышке - пломбу энергоснабжающей организации.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На вновь устанавливаемых трехфазных счетчиках должны быть пломбы государственной поверки с давностью не более 12 мес., а на однофазных счетчиках - с давностью не более 2 лет.</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1.5.14. Учет активной и реактивной электроэнергии трехфазного тока должен производиться с помощью трехфазных счетчиков.</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1.5.15. Допустимые классы точности расчетных счетчиков активной электроэнергии для различных объектов учета приведены ниже:</w:t>
      </w:r>
    </w:p>
    <w:p w:rsidR="009F2CD8" w:rsidRDefault="009F2CD8" w:rsidP="009F2CD8">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7245"/>
        <w:gridCol w:w="15"/>
        <w:gridCol w:w="1065"/>
        <w:gridCol w:w="15"/>
      </w:tblGrid>
      <w:tr w:rsidR="009F2CD8">
        <w:tblPrEx>
          <w:tblCellMar>
            <w:top w:w="0" w:type="dxa"/>
            <w:bottom w:w="0" w:type="dxa"/>
          </w:tblCellMar>
        </w:tblPrEx>
        <w:trPr>
          <w:hidden/>
        </w:trPr>
        <w:tc>
          <w:tcPr>
            <w:tcW w:w="7260" w:type="dxa"/>
            <w:gridSpan w:val="2"/>
            <w:tcBorders>
              <w:top w:val="nil"/>
              <w:left w:val="nil"/>
              <w:bottom w:val="nil"/>
              <w:right w:val="nil"/>
            </w:tcBorders>
          </w:tcPr>
          <w:p w:rsidR="009F2CD8" w:rsidRDefault="009F2CD8">
            <w:pPr>
              <w:rPr>
                <w:color w:val="000000"/>
              </w:rPr>
            </w:pPr>
            <w:r>
              <w:rPr>
                <w:vanish/>
                <w:color w:val="000000"/>
              </w:rPr>
              <w:t>#G0</w:t>
            </w:r>
            <w:r>
              <w:rPr>
                <w:color w:val="000000"/>
              </w:rPr>
              <w:t xml:space="preserve">Генераторы мощностью более 50 МВт, межсистемные линии электропередачи 220 кВ и выше, трансформаторы мощностью 63 МВ·А и более </w:t>
            </w:r>
            <w:r>
              <w:rPr>
                <w:rFonts w:ascii="Courier New" w:hAnsi="Courier New" w:cs="Courier New"/>
                <w:color w:val="000000"/>
              </w:rPr>
              <w:t>+++++++++</w:t>
            </w:r>
            <w:r>
              <w:rPr>
                <w:color w:val="000000"/>
              </w:rPr>
              <w:t>.</w:t>
            </w:r>
          </w:p>
          <w:p w:rsidR="009F2CD8" w:rsidRDefault="009F2CD8">
            <w:pPr>
              <w:rPr>
                <w:color w:val="000000"/>
              </w:rPr>
            </w:pPr>
          </w:p>
        </w:tc>
        <w:tc>
          <w:tcPr>
            <w:tcW w:w="1080" w:type="dxa"/>
            <w:gridSpan w:val="2"/>
            <w:tcBorders>
              <w:top w:val="nil"/>
              <w:left w:val="nil"/>
              <w:bottom w:val="nil"/>
              <w:right w:val="nil"/>
            </w:tcBorders>
          </w:tcPr>
          <w:p w:rsidR="009F2CD8" w:rsidRDefault="009F2CD8">
            <w:pPr>
              <w:jc w:val="both"/>
              <w:rPr>
                <w:color w:val="000000"/>
              </w:rPr>
            </w:pPr>
          </w:p>
          <w:p w:rsidR="009F2CD8" w:rsidRDefault="009F2CD8">
            <w:pPr>
              <w:jc w:val="both"/>
              <w:rPr>
                <w:color w:val="000000"/>
              </w:rPr>
            </w:pPr>
            <w:r>
              <w:rPr>
                <w:color w:val="000000"/>
              </w:rPr>
              <w:t>0,5 (0,7)*</w:t>
            </w:r>
          </w:p>
        </w:tc>
      </w:tr>
      <w:tr w:rsidR="009F2CD8">
        <w:tblPrEx>
          <w:tblCellMar>
            <w:top w:w="0" w:type="dxa"/>
            <w:bottom w:w="0" w:type="dxa"/>
          </w:tblCellMar>
        </w:tblPrEx>
        <w:tc>
          <w:tcPr>
            <w:tcW w:w="8340" w:type="dxa"/>
            <w:gridSpan w:val="4"/>
            <w:tcBorders>
              <w:top w:val="nil"/>
              <w:left w:val="nil"/>
              <w:bottom w:val="nil"/>
              <w:right w:val="nil"/>
            </w:tcBorders>
          </w:tcPr>
          <w:p w:rsidR="009F2CD8" w:rsidRDefault="009F2CD8">
            <w:pPr>
              <w:rPr>
                <w:color w:val="000000"/>
              </w:rPr>
            </w:pPr>
            <w:r>
              <w:rPr>
                <w:color w:val="000000"/>
              </w:rPr>
              <w:t>___________________</w:t>
            </w:r>
          </w:p>
          <w:p w:rsidR="009F2CD8" w:rsidRDefault="009F2CD8">
            <w:pPr>
              <w:ind w:firstLine="225"/>
              <w:jc w:val="both"/>
              <w:rPr>
                <w:color w:val="000000"/>
              </w:rPr>
            </w:pPr>
            <w:r>
              <w:rPr>
                <w:color w:val="000000"/>
              </w:rPr>
              <w:t>*Значение, указанное в скобках, относится к импортируемым счетчикам.</w:t>
            </w:r>
          </w:p>
          <w:p w:rsidR="009F2CD8" w:rsidRDefault="009F2CD8">
            <w:pPr>
              <w:ind w:firstLine="225"/>
              <w:jc w:val="both"/>
              <w:rPr>
                <w:color w:val="000000"/>
              </w:rPr>
            </w:pPr>
          </w:p>
        </w:tc>
      </w:tr>
      <w:tr w:rsidR="009F2CD8">
        <w:tblPrEx>
          <w:tblCellMar>
            <w:top w:w="0" w:type="dxa"/>
            <w:bottom w:w="0" w:type="dxa"/>
          </w:tblCellMar>
        </w:tblPrEx>
        <w:trPr>
          <w:gridAfter w:val="1"/>
          <w:wAfter w:w="15" w:type="dxa"/>
        </w:trPr>
        <w:tc>
          <w:tcPr>
            <w:tcW w:w="7245" w:type="dxa"/>
            <w:tcBorders>
              <w:top w:val="nil"/>
              <w:left w:val="nil"/>
              <w:bottom w:val="nil"/>
              <w:right w:val="nil"/>
            </w:tcBorders>
          </w:tcPr>
          <w:p w:rsidR="009F2CD8" w:rsidRDefault="009F2CD8">
            <w:pPr>
              <w:ind w:firstLine="225"/>
              <w:jc w:val="both"/>
              <w:rPr>
                <w:color w:val="000000"/>
              </w:rPr>
            </w:pPr>
            <w:r>
              <w:rPr>
                <w:color w:val="000000"/>
              </w:rPr>
              <w:t xml:space="preserve">Генераторы мощностью 12-50 МВт, межсистемные линии электропередачи 110-150 кВ, трансформаторы мощностью 10-40 МВ·А </w:t>
            </w:r>
            <w:r>
              <w:rPr>
                <w:rFonts w:ascii="Courier New" w:hAnsi="Courier New" w:cs="Courier New"/>
                <w:color w:val="000000"/>
              </w:rPr>
              <w:t>+++++++++++</w:t>
            </w:r>
            <w:r>
              <w:rPr>
                <w:color w:val="000000"/>
              </w:rPr>
              <w:t>..</w:t>
            </w:r>
          </w:p>
          <w:p w:rsidR="009F2CD8" w:rsidRDefault="009F2CD8">
            <w:pPr>
              <w:ind w:firstLine="225"/>
              <w:jc w:val="both"/>
              <w:rPr>
                <w:color w:val="000000"/>
              </w:rPr>
            </w:pPr>
          </w:p>
        </w:tc>
        <w:tc>
          <w:tcPr>
            <w:tcW w:w="1080" w:type="dxa"/>
            <w:gridSpan w:val="2"/>
            <w:tcBorders>
              <w:top w:val="nil"/>
              <w:left w:val="nil"/>
              <w:bottom w:val="nil"/>
              <w:right w:val="nil"/>
            </w:tcBorders>
          </w:tcPr>
          <w:p w:rsidR="009F2CD8" w:rsidRDefault="009F2CD8">
            <w:pPr>
              <w:ind w:firstLine="225"/>
              <w:jc w:val="both"/>
              <w:rPr>
                <w:color w:val="000000"/>
              </w:rPr>
            </w:pPr>
          </w:p>
          <w:p w:rsidR="009F2CD8" w:rsidRDefault="009F2CD8">
            <w:pPr>
              <w:ind w:firstLine="225"/>
              <w:jc w:val="both"/>
              <w:rPr>
                <w:color w:val="000000"/>
              </w:rPr>
            </w:pPr>
            <w:r>
              <w:rPr>
                <w:color w:val="000000"/>
              </w:rPr>
              <w:t xml:space="preserve">1,0 </w:t>
            </w:r>
          </w:p>
        </w:tc>
      </w:tr>
      <w:tr w:rsidR="009F2CD8">
        <w:tblPrEx>
          <w:tblCellMar>
            <w:top w:w="0" w:type="dxa"/>
            <w:bottom w:w="0" w:type="dxa"/>
          </w:tblCellMar>
        </w:tblPrEx>
        <w:trPr>
          <w:gridAfter w:val="1"/>
          <w:wAfter w:w="15" w:type="dxa"/>
        </w:trPr>
        <w:tc>
          <w:tcPr>
            <w:tcW w:w="7245" w:type="dxa"/>
            <w:tcBorders>
              <w:top w:val="nil"/>
              <w:left w:val="nil"/>
              <w:bottom w:val="nil"/>
              <w:right w:val="nil"/>
            </w:tcBorders>
          </w:tcPr>
          <w:p w:rsidR="009F2CD8" w:rsidRDefault="009F2CD8">
            <w:pPr>
              <w:ind w:firstLine="225"/>
              <w:jc w:val="both"/>
              <w:rPr>
                <w:color w:val="000000"/>
              </w:rPr>
            </w:pPr>
            <w:r>
              <w:rPr>
                <w:color w:val="000000"/>
              </w:rPr>
              <w:t xml:space="preserve">Прочие объекты учета </w:t>
            </w:r>
            <w:r>
              <w:rPr>
                <w:rFonts w:ascii="Courier New" w:hAnsi="Courier New" w:cs="Courier New"/>
                <w:color w:val="000000"/>
              </w:rPr>
              <w:t>++++++++++</w:t>
            </w:r>
            <w:r>
              <w:rPr>
                <w:color w:val="000000"/>
              </w:rPr>
              <w:t>..</w:t>
            </w:r>
          </w:p>
        </w:tc>
        <w:tc>
          <w:tcPr>
            <w:tcW w:w="1080" w:type="dxa"/>
            <w:gridSpan w:val="2"/>
            <w:tcBorders>
              <w:top w:val="nil"/>
              <w:left w:val="nil"/>
              <w:bottom w:val="nil"/>
              <w:right w:val="nil"/>
            </w:tcBorders>
          </w:tcPr>
          <w:p w:rsidR="009F2CD8" w:rsidRDefault="009F2CD8">
            <w:pPr>
              <w:ind w:firstLine="225"/>
              <w:jc w:val="both"/>
              <w:rPr>
                <w:color w:val="000000"/>
              </w:rPr>
            </w:pPr>
            <w:r>
              <w:rPr>
                <w:color w:val="000000"/>
              </w:rPr>
              <w:t xml:space="preserve">2,0 </w:t>
            </w:r>
          </w:p>
        </w:tc>
      </w:tr>
    </w:tbl>
    <w:p w:rsidR="009F2CD8" w:rsidRDefault="009F2CD8" w:rsidP="009F2CD8">
      <w:pPr>
        <w:ind w:firstLine="225"/>
        <w:jc w:val="both"/>
        <w:rPr>
          <w:color w:val="000000"/>
        </w:rPr>
      </w:pP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Класс точности счетчиков реактивной электроэнергии должен выбираться на одну ступень ниже соответствующего класса точности счетчиков активной электроэнергии.</w:t>
      </w:r>
    </w:p>
    <w:p w:rsidR="009F2CD8" w:rsidRDefault="009F2CD8" w:rsidP="009F2CD8">
      <w:pPr>
        <w:pStyle w:val="Heading"/>
        <w:jc w:val="center"/>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r>
        <w:rPr>
          <w:color w:val="000000"/>
        </w:rPr>
        <w:lastRenderedPageBreak/>
        <w:t xml:space="preserve">УЧЕТ С ПРИМЕНЕНИЕМ ИЗМЕРИТЕЛЬНЫХ ТРАНСФОРМАТОРОВ </w:t>
      </w:r>
    </w:p>
    <w:p w:rsidR="009F2CD8" w:rsidRDefault="009F2CD8" w:rsidP="009F2CD8">
      <w:pPr>
        <w:ind w:firstLine="225"/>
        <w:jc w:val="both"/>
        <w:rPr>
          <w:color w:val="000000"/>
        </w:rPr>
      </w:pP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1.5.16. Класс точности трансформаторов тока и напряжения для присоединения расчетных счетчиков электроэнергии должен быть не более 0,5. Допускается использование трансформаторов напряжения класса точности 1,0 для включения расчетных счетчиков класса точности 2,0.</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Для присоединения счетчиков технического учета допускается использование трансформаторов тока класса точности 1,0, а также встроенных трансформаторов тока класса точности ниже 1,0, если для получения класса точности 1,0 требуется установка дополнительных комплектов трансформаторов тока.</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Трансформаторы напряжения, используемые для присоединения счетчиков технического учета, могут иметь класс точности ниже 1,0.</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1.5.17. Допускается применение трансформаторов тока с завышенным коэффициентом трансформации (по условиям электродинамической и термической стойкости или защиты шин), если при максимальной нагрузке присоединения ток во вторичной обмотке трансформатора тока будет составлять не менее 40% номинального тока счетчика, а при минимальной рабочей нагрузке - не менее 5%.</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1.5.18. Присоединение токовых обмоток счетчиков к вторичным обмоткам трансформаторов тока следует проводить, как правило, отдельно от цепей защиты и совместно с электроизмерительными приборами.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Допускается производить совместное присоединение токовых цепей, если раздельное их присоединение требует установки дополнительных трансформаторов тока, а совместное присоединение не приводит к снижению класса точности и надежности цепей трансформаторов тока, служащих для учета, и обеспечивает необходимые характеристики устройств релейной защиты.</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Использование промежуточных трансформаторов тока для включения расчетных счетчиков запрещается (исключение см. в 1.5.21).</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1.5.19. Нагрузка вторичных обмоток измерительных трансформаторов, к которым присоединяются счетчики, не должна превышать номинальных значений.</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Сечение и длина проводов и кабелей в цепях напряжения расчетных счетчиков должны выбираться такими, чтобы потери напряжения в этих цепях составляли не более 0,25% номинального напряжения при питании от трансформаторов напряжения класса точности 0,5 и не более 0,5% при питании от трансформаторов напряжения класса точности 1,0. Для обеспечения этого требования допускается применение отдельных кабелей от трансформаторов напряжения до счетчиков.</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Потери напряжения от трансформаторов напряжения до счетчиков технического учета должны составлять не более 1,5% номинального напряжения.</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lastRenderedPageBreak/>
        <w:t>1.5.20. Для присоединения расчетных счетчиков на линиях электропередачи 110 кВ и выше допускается установка дополнительных трансформаторов тока (при отсутствии вторичных обмоток для присоединения счетчиков, для обеспечения работы счетчика в требуемом классе точности, по условиям нагрузки на вторичные обмотки и т. п.). См. также 1.5.18.</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1.5.21. Для обходных выключателей 110 и 220 кВ со встроенными трансформаторами тока допускается снижение класса точности этих трансформаторов тока на одну ступень по отношению к указанному в 1.5.16.</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Для обходного выключателя 110 кВ и шиносоединительного (междусекционного) выключателя 110 кВ, используемого в качестве обходного, с отдельно стоящими трансформаторами тока (имеющими не более трех вторичных обмоток) допускается включение токовых цепей счетчика совместно с цепями защиты при использовании промежуточных трансформаторов тока класса точности не более 0,5; при этом допускается снижение класса точности трансформаторов тока на одну ступень.</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Такое же включение счетчиков и снижение класса точности трансформаторов тока допускается для шиносоединительного (междусекционного) выключателя на напряжение 220 кВ, используемого в качестве обходного, с отдельно стоящими трансформаторами тока и на напряжение 110-220 кВ со встроенными трансформаторами тока.</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1.5.22. Для питания цепей счетчиков могут применяться как однофазные, так и трехфазные трансформаторы напряжения, в том числе четерех- и пятистержневые, применяемые для контроля изоляции.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1.5.23. Цепи учета следует выводить на самостоятельные сборки зажимов или секции в общем ряду зажимов. При отсутствии сборок с зажимами необходимо устанавливать испытательные блоки.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Зажимы должны обеспечивать закорачивание вторичных цепей трансформаторов тока, отключение токовых цепей счетчика и цепей напряжения в каждой фазе счетчиков при их замене или проверке, а также включение образцового счетчика без отсоединения проводов и кабелей.</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Конструкция сборок и коробок зажимов расчетных счетчиков должна обеспечивать возможность их пломбирования.</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1.5.24. Трансформаторы напряжения, используемые только для учета и защищенные на стороне высшего напряжения предохранителями, должны иметь контроль целости предохранителей.</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1.5.25. При нескольких системах шин и присоединении каждого трансформатора напряжения только к своей системе шин должно быть предусмотрено устройство для переключения цепей счетчиков каждого присоединения на трансформаторы напряжения соответствующих систем шин.</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1.5.26. На подстанциях потребителей конструкция решеток и дверей камер, в которых установлены предохранители на стороне высшего напряжения трансформаторов напряжения, используемых для расчетного учета, должна обеспечивать возможность их пломбирования.</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Рукоятки приводов разъединителей трансформаторов напряжения, используемых для расчетного учета, должны иметь приспособления для их пломбирования.</w:t>
      </w:r>
    </w:p>
    <w:p w:rsidR="009F2CD8" w:rsidRDefault="009F2CD8" w:rsidP="009F2CD8">
      <w:pPr>
        <w:ind w:firstLine="225"/>
        <w:jc w:val="both"/>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r>
        <w:rPr>
          <w:color w:val="000000"/>
        </w:rPr>
        <w:t xml:space="preserve">УСТАНОВКА СЧЕТЧИКОВ И ЭЛЕКТРОПРОВОДКА К НИМ </w:t>
      </w:r>
    </w:p>
    <w:p w:rsidR="009F2CD8" w:rsidRDefault="009F2CD8" w:rsidP="009F2CD8">
      <w:pPr>
        <w:ind w:firstLine="225"/>
        <w:jc w:val="both"/>
        <w:rPr>
          <w:color w:val="000000"/>
        </w:rPr>
      </w:pP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1.5.27. Счетчики должны размещаться в легко доступных для обслуживания сухих помещениях, в достаточно свободном и не стесненном для работы месте с температурой в зимнее время не ниже 0°С.</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Счетчики общепромышленного исполнения не разрешается устанавливать в помещениях, где по производственным условиям температура может часто превышать +40°С, а также в помещениях с агрессивными средами.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Допускается размещение счетчиков в неотапливаемых помещениях и коридорах распределительных устройств электростанций и подстанций, а также в шкафах наружной установки. При этом должно быть предусмотрено стационарное их утепление на зимнее время посредством утепляющих шкафов, колпаков с подогревом воздуха внутри них электрической лампой или нагревательным элементом для обеспечения внутри колпака положительной температуры, но не выше +20°С.</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1.5.28. Счетчики, предназначенные для учета электроэнергии, вырабатываемой генераторами электростанций, следует устанавливать в помещениях со средней температурой окружающего воздуха +15</w:t>
      </w:r>
      <w:r w:rsidR="00230F94" w:rsidRPr="002C2AB7">
        <w:rPr>
          <w:noProof/>
          <w:color w:val="000000"/>
          <w:position w:val="-4"/>
        </w:rPr>
        <w:drawing>
          <wp:inline distT="0" distB="0" distL="0" distR="0">
            <wp:extent cx="123825" cy="1238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Pr>
          <w:color w:val="000000"/>
        </w:rPr>
        <w:t>+25°С. При отсутствии таких помещений счетчики рекомендуется помещать в специальных шкафах, где должна поддерживаться указанная температура в течение всего года.</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1.5.29. Счетчики должны устанавливаться в шкафах, камерах комплектных распределительных устройствах (КРУ, КРУП), на панелях, щитах, в нишах, на стенах, имеющих жесткую конструкцию.</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Допускается крепление счетчиков на деревянных, пластмассовых или металлических щитках.</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Высота от пола до коробки зажимов счетчиков должна быть в пределах 0,8-1,7 м. Допускается высота менее 0,8 м, но не менее 0,4 м.</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1.5.30. В местах, где имеется опасность механических повреждений счетчиков или их загрязнения, или в местах, доступных для посторонних лиц (проходы, лестничные клетки и т. п.), для счетчиков должен предусматриваться запирающийся шкаф с окошком на уровне циферблата. Аналогичные шкафы должны устанавливаться также для совместного размещения счетчиков и трансформаторов тока при выполнении учета на стороне низшего напряжения (на вводе у потребителей).</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 xml:space="preserve">1.5.31. Конструкции и размеры шкафов, ниш, щитков и т. п. должны обеспечивать удобный доступ к зажимам счетчиков и трансформаторов тока. Кроме того, должна быть обеспечена </w:t>
      </w:r>
      <w:r>
        <w:rPr>
          <w:color w:val="000000"/>
        </w:rPr>
        <w:lastRenderedPageBreak/>
        <w:t>возможность удобной замены счетчика и установки его с уклоном не более 1°. Конструкция его крепления должна обеспечивать возможность установки и съема счетчика с лицевой стороны.</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1.5.32. Электропроводки к счетчикам должны отвечать требованиям, приведенным в гл. 2.1 и 3.4.</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1.5.33. В электропроводке к расчетным счетчикам наличие паек не допускается.</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1.5.34. Сечения проводов и кабелей, присоединяемых к счетчикам, должны приниматься в соответствии с 3.4.4 (см. также 1.5.19).</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1.5.35. При монтаже электропроводки для присоединения счетчиков непосредственного включения около счетчиков необходимо оставлять концы проводов длиной не менее 120 мм. Изоляция или оболочка нулевого провода на длине 100 мм перед счетчиком должна иметь отличительную окраску.</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1.5.36. Для безопасной установки и замены счетчиков в сетях напряжением до 380 В должна предусматриваться возможность отключения счетчика установленными до него на расстоянии не более 10 м коммутационным аппаратом или предохранителями. Снятие напряжения должно предусматриваться со всех фаз, присоединяемых к счетчику.</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Трансформаторы тока, используемые для присоединения счетчиков на напряжении до 380 В, должны устанавливаться после коммутационных аппаратов по направлению потока мощности.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1.5.37. Заземление (зануление) счетчиков и трансформаторов тока должно выполняться в соответствии с требованиями гл. 1.7. При этом заземляющие и нулевые защитные проводники от счетчиков и трансформаторов тока напряжением до 1 кВ до ближайшей сборки зажимов должны быть медными.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1.5.38. При наличии на объекте нескольких присоединений с отдельным учетом электроэнергии на панелях счетчиков должны быть надписи наименований присоединений.</w:t>
      </w:r>
    </w:p>
    <w:p w:rsidR="009F2CD8" w:rsidRDefault="009F2CD8" w:rsidP="009F2CD8">
      <w:pPr>
        <w:pStyle w:val="Heading"/>
        <w:jc w:val="center"/>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p>
    <w:p w:rsidR="009F2CD8" w:rsidRDefault="009F2CD8" w:rsidP="009F2CD8">
      <w:pPr>
        <w:pStyle w:val="Heading"/>
        <w:jc w:val="center"/>
        <w:rPr>
          <w:color w:val="000000"/>
        </w:rPr>
      </w:pPr>
      <w:r>
        <w:rPr>
          <w:color w:val="000000"/>
        </w:rPr>
        <w:t xml:space="preserve">ТЕХНИЧЕСКИЙ УЧЕТ </w:t>
      </w:r>
    </w:p>
    <w:p w:rsidR="009F2CD8" w:rsidRDefault="009F2CD8" w:rsidP="009F2CD8">
      <w:pPr>
        <w:ind w:firstLine="225"/>
        <w:jc w:val="both"/>
        <w:rPr>
          <w:color w:val="000000"/>
        </w:rPr>
      </w:pP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1.5.39. На тепловых и атомных электростанциях с агрегатами (блоками), не оборудованными информационными или управляющими вычислительными машинами, следует устанавливать стационарные или применять инвентарные переносные счетчики технического учета в системе СН для возможности расчетов технико-экономических показателей. При этом установка счетчиков активной электроэнергии должна производиться в цепях электродвигателей, питающихся от шин распределительного устройства основного напряжения (выше 1 кВ) собственных нужд, и в цепях всех трансформаторов, питающихся от этих шин.</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lastRenderedPageBreak/>
        <w:t>1.5.40. На электростанциях с поперечными связями (имеющих общий паропровод) должна предусматриваться на стороне генераторного напряжения превышающих трансформаторов техническая возможность установки (в условиях эксплуатации) счетчиков технического учета активной электроэнергии, используемых для контроля правильности работы расчетных генераторных счетчиков.</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1.5.41. Счетчики активной электроэнергии для технического учета следует устанавливать на подстанциях напряжением 35 кВ и выше энергосистем: на сторонах среднего и низшего напряжений силовых трансформаторов; на каждой отходящей линии электропередачи 6 кВ и выше, находящейся на балансе энергосистемы.</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Счетчики реактивной электроэнергии для технического учета следует устанавливать на сторонах среднего и низшего напряжений силовых трансформаторов подстанций 35 кВ и выше энергосистем.</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Указанные требования к установке счетчиков электроэнергии подлежат реализации по мере обеспечения счетчиками.</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1.5.42. На предприятиях следует предусматривать техническую возможность установки (в условиях эксплуатации) стационарных или применения инвентарных переносных счетчиков для контроля за соблюдением лимитов расхода электроэнергии цехами, технологическими линиями, отдельными энергоемкими агрегатами, для определения расхода электроэнергии на единицу продукции или полуфабриката.</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Допускается установка счетчиков технического учета на вводе предприятия, если расчетный учет с этим предприятием ведется по счетчикам, установленным на подстанциях или электростанциях энергосистем.</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На установку и снятие счетчиков технического учета на предприятиях разрешения энергоснабжающей организации не требуется.</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1.5.43. Приборы технического учета на предприятиях (счетчики и измерительные трансформаторы) должны находиться в ведении самих потребителей и должны удовлетворять требованиям 1.5.13 (за исключением требования о наличии пломбы энергоснабжающей организации), 1.5.14 и 1.5.15.</w:t>
      </w:r>
    </w:p>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1.5.44. Классы точности счетчиков технического учета активной электроэнергии должны соответствовать значениям, приведенным ниже:</w:t>
      </w:r>
    </w:p>
    <w:p w:rsidR="009F2CD8" w:rsidRDefault="009F2CD8" w:rsidP="009F2CD8">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7200"/>
        <w:gridCol w:w="1320"/>
      </w:tblGrid>
      <w:tr w:rsidR="009F2CD8">
        <w:tblPrEx>
          <w:tblCellMar>
            <w:top w:w="0" w:type="dxa"/>
            <w:bottom w:w="0" w:type="dxa"/>
          </w:tblCellMar>
        </w:tblPrEx>
        <w:trPr>
          <w:hidden/>
        </w:trPr>
        <w:tc>
          <w:tcPr>
            <w:tcW w:w="7200" w:type="dxa"/>
            <w:tcBorders>
              <w:top w:val="nil"/>
              <w:left w:val="nil"/>
              <w:bottom w:val="nil"/>
              <w:right w:val="nil"/>
            </w:tcBorders>
          </w:tcPr>
          <w:p w:rsidR="009F2CD8" w:rsidRDefault="009F2CD8">
            <w:pPr>
              <w:rPr>
                <w:color w:val="000000"/>
              </w:rPr>
            </w:pPr>
            <w:r>
              <w:rPr>
                <w:vanish/>
                <w:color w:val="000000"/>
              </w:rPr>
              <w:t>#G0</w:t>
            </w:r>
            <w:r>
              <w:rPr>
                <w:color w:val="000000"/>
              </w:rPr>
              <w:t>Для линий электропередачи с двусторонним питанием напряжением 220 кВ и выше, трансформаторов мощностью 63 МВ·А и более</w:t>
            </w:r>
            <w:r>
              <w:rPr>
                <w:rFonts w:ascii="Courier New" w:hAnsi="Courier New" w:cs="Courier New"/>
                <w:color w:val="000000"/>
              </w:rPr>
              <w:t>+++++++++++++</w:t>
            </w:r>
            <w:r>
              <w:rPr>
                <w:color w:val="000000"/>
              </w:rPr>
              <w:t>..</w:t>
            </w:r>
          </w:p>
        </w:tc>
        <w:tc>
          <w:tcPr>
            <w:tcW w:w="1320" w:type="dxa"/>
            <w:tcBorders>
              <w:top w:val="nil"/>
              <w:left w:val="nil"/>
              <w:bottom w:val="nil"/>
              <w:right w:val="nil"/>
            </w:tcBorders>
          </w:tcPr>
          <w:p w:rsidR="009F2CD8" w:rsidRDefault="009F2CD8">
            <w:pPr>
              <w:jc w:val="both"/>
              <w:rPr>
                <w:color w:val="000000"/>
              </w:rPr>
            </w:pPr>
          </w:p>
          <w:p w:rsidR="009F2CD8" w:rsidRDefault="009F2CD8">
            <w:pPr>
              <w:jc w:val="both"/>
              <w:rPr>
                <w:color w:val="000000"/>
              </w:rPr>
            </w:pPr>
            <w:r>
              <w:rPr>
                <w:color w:val="000000"/>
              </w:rPr>
              <w:t>1,0</w:t>
            </w:r>
          </w:p>
          <w:p w:rsidR="009F2CD8" w:rsidRDefault="009F2CD8">
            <w:pPr>
              <w:jc w:val="both"/>
              <w:rPr>
                <w:color w:val="000000"/>
              </w:rPr>
            </w:pPr>
          </w:p>
        </w:tc>
      </w:tr>
      <w:tr w:rsidR="009F2CD8">
        <w:tblPrEx>
          <w:tblCellMar>
            <w:top w:w="0" w:type="dxa"/>
            <w:bottom w:w="0" w:type="dxa"/>
          </w:tblCellMar>
        </w:tblPrEx>
        <w:tc>
          <w:tcPr>
            <w:tcW w:w="7200" w:type="dxa"/>
            <w:tcBorders>
              <w:top w:val="nil"/>
              <w:left w:val="nil"/>
              <w:bottom w:val="nil"/>
              <w:right w:val="nil"/>
            </w:tcBorders>
          </w:tcPr>
          <w:p w:rsidR="009F2CD8" w:rsidRDefault="009F2CD8">
            <w:pPr>
              <w:jc w:val="both"/>
              <w:rPr>
                <w:color w:val="000000"/>
              </w:rPr>
            </w:pPr>
            <w:r>
              <w:rPr>
                <w:color w:val="000000"/>
              </w:rPr>
              <w:t>Для прочих объектов учета .......</w:t>
            </w:r>
            <w:r>
              <w:rPr>
                <w:rFonts w:ascii="Courier New" w:hAnsi="Courier New" w:cs="Courier New"/>
                <w:color w:val="000000"/>
              </w:rPr>
              <w:t>+++++++</w:t>
            </w:r>
            <w:r>
              <w:rPr>
                <w:color w:val="000000"/>
              </w:rPr>
              <w:t>.</w:t>
            </w:r>
          </w:p>
        </w:tc>
        <w:tc>
          <w:tcPr>
            <w:tcW w:w="1320" w:type="dxa"/>
            <w:tcBorders>
              <w:top w:val="nil"/>
              <w:left w:val="nil"/>
              <w:bottom w:val="nil"/>
              <w:right w:val="nil"/>
            </w:tcBorders>
          </w:tcPr>
          <w:p w:rsidR="009F2CD8" w:rsidRDefault="009F2CD8">
            <w:pPr>
              <w:jc w:val="both"/>
              <w:rPr>
                <w:color w:val="000000"/>
              </w:rPr>
            </w:pPr>
            <w:r>
              <w:rPr>
                <w:color w:val="000000"/>
              </w:rPr>
              <w:t xml:space="preserve">2,0 </w:t>
            </w:r>
          </w:p>
        </w:tc>
      </w:tr>
    </w:tbl>
    <w:p w:rsidR="009F2CD8" w:rsidRDefault="009F2CD8" w:rsidP="009F2CD8">
      <w:pPr>
        <w:ind w:firstLine="225"/>
        <w:jc w:val="both"/>
        <w:rPr>
          <w:color w:val="000000"/>
        </w:rPr>
      </w:pPr>
    </w:p>
    <w:p w:rsidR="009F2CD8" w:rsidRDefault="009F2CD8" w:rsidP="009F2CD8">
      <w:pPr>
        <w:ind w:firstLine="225"/>
        <w:jc w:val="both"/>
        <w:rPr>
          <w:color w:val="000000"/>
        </w:rPr>
      </w:pPr>
      <w:r>
        <w:rPr>
          <w:color w:val="000000"/>
        </w:rPr>
        <w:t>Классы точности счетчиков технического учета реактивной электроэнергии допускается выбирать на одну ступень ниже соответствующего класса точности счетчиков технического учета активной электроэнергии.</w:t>
      </w:r>
    </w:p>
    <w:p w:rsidR="009F2CD8" w:rsidRDefault="009F2CD8"/>
    <w:sectPr w:rsidR="009F2CD8" w:rsidSect="009F2CD8">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CD8"/>
    <w:rsid w:val="00230F94"/>
    <w:rsid w:val="009F2CD8"/>
    <w:rsid w:val="00C366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3864311-4558-4E0A-9C24-47DA26280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eading">
    <w:name w:val="Heading"/>
    <w:rsid w:val="009F2CD8"/>
    <w:pPr>
      <w:autoSpaceDE w:val="0"/>
      <w:autoSpaceDN w:val="0"/>
      <w:adjustRightInd w:val="0"/>
    </w:pPr>
    <w:rPr>
      <w:rFonts w:ascii="Arial" w:hAnsi="Arial" w:cs="Arial"/>
      <w:b/>
      <w:bCs/>
      <w:sz w:val="22"/>
      <w:szCs w:val="22"/>
    </w:rPr>
  </w:style>
  <w:style w:type="paragraph" w:customStyle="1" w:styleId="Preformat">
    <w:name w:val="Preformat"/>
    <w:rsid w:val="009F2CD8"/>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3356</Words>
  <Characters>19135</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22447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admin</dc:creator>
  <cp:keywords/>
  <dc:description/>
  <cp:lastModifiedBy>Aleksander Kirillov</cp:lastModifiedBy>
  <cp:revision>2</cp:revision>
  <dcterms:created xsi:type="dcterms:W3CDTF">2026-01-29T19:35:00Z</dcterms:created>
  <dcterms:modified xsi:type="dcterms:W3CDTF">2026-01-29T19:35:00Z</dcterms:modified>
</cp:coreProperties>
</file>