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151A" w:rsidRDefault="0059151A" w:rsidP="0059151A">
      <w:pPr>
        <w:pStyle w:val="Preformat"/>
        <w:jc w:val="center"/>
        <w:rPr>
          <w:color w:val="000000"/>
        </w:rPr>
      </w:pPr>
      <w:bookmarkStart w:id="0" w:name="_GoBack"/>
      <w:bookmarkEnd w:id="0"/>
    </w:p>
    <w:p w:rsidR="0059151A" w:rsidRDefault="0059151A" w:rsidP="0059151A">
      <w:pPr>
        <w:pStyle w:val="Heading"/>
        <w:jc w:val="center"/>
        <w:rPr>
          <w:color w:val="000000"/>
        </w:rPr>
      </w:pPr>
      <w:r>
        <w:rPr>
          <w:vanish/>
          <w:color w:val="000000"/>
        </w:rPr>
        <w:t>#G0</w:t>
      </w:r>
    </w:p>
    <w:p w:rsidR="0059151A" w:rsidRDefault="0059151A" w:rsidP="0059151A">
      <w:pPr>
        <w:pStyle w:val="Heading"/>
        <w:jc w:val="center"/>
        <w:rPr>
          <w:color w:val="000000"/>
        </w:rPr>
      </w:pPr>
      <w:r>
        <w:rPr>
          <w:color w:val="000000"/>
        </w:rPr>
        <w:t>Глава 6.3</w:t>
      </w:r>
    </w:p>
    <w:p w:rsidR="0059151A" w:rsidRDefault="0059151A" w:rsidP="0059151A">
      <w:pPr>
        <w:pStyle w:val="Heading"/>
        <w:jc w:val="center"/>
        <w:rPr>
          <w:color w:val="000000"/>
        </w:rPr>
      </w:pPr>
    </w:p>
    <w:p w:rsidR="0059151A" w:rsidRDefault="0059151A" w:rsidP="0059151A">
      <w:pPr>
        <w:pStyle w:val="Heading"/>
        <w:jc w:val="center"/>
        <w:rPr>
          <w:color w:val="000000"/>
        </w:rPr>
      </w:pPr>
      <w:r>
        <w:rPr>
          <w:color w:val="000000"/>
        </w:rPr>
        <w:t xml:space="preserve">НАРУЖНОЕ ОСВЕЩЕНИЕ </w:t>
      </w:r>
    </w:p>
    <w:p w:rsidR="0059151A" w:rsidRDefault="0059151A" w:rsidP="0059151A">
      <w:pPr>
        <w:pStyle w:val="Heading"/>
        <w:jc w:val="center"/>
        <w:rPr>
          <w:color w:val="000000"/>
        </w:rPr>
      </w:pPr>
      <w:r>
        <w:rPr>
          <w:color w:val="000000"/>
        </w:rPr>
        <w:t xml:space="preserve">     </w:t>
      </w:r>
    </w:p>
    <w:p w:rsidR="0059151A" w:rsidRDefault="0059151A" w:rsidP="0059151A">
      <w:pPr>
        <w:pStyle w:val="Heading"/>
        <w:jc w:val="center"/>
        <w:rPr>
          <w:color w:val="000000"/>
        </w:rPr>
      </w:pPr>
    </w:p>
    <w:p w:rsidR="0059151A" w:rsidRDefault="0059151A" w:rsidP="0059151A">
      <w:pPr>
        <w:pStyle w:val="Heading"/>
        <w:jc w:val="center"/>
        <w:rPr>
          <w:color w:val="000000"/>
        </w:rPr>
      </w:pPr>
      <w:r>
        <w:rPr>
          <w:color w:val="000000"/>
        </w:rPr>
        <w:t xml:space="preserve">Источники света, установка осветительных приборов и опор </w:t>
      </w:r>
    </w:p>
    <w:p w:rsidR="0059151A" w:rsidRDefault="0059151A" w:rsidP="0059151A">
      <w:pPr>
        <w:ind w:firstLine="225"/>
        <w:jc w:val="both"/>
        <w:rPr>
          <w:color w:val="000000"/>
        </w:rPr>
      </w:pP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6.3.1. Для наружного освещения могут применяться любые источники света (см. п. 6.1.11).</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Для охранного освещения территорий предприятий применение разрядных ламп не допускается в случаях, когда охранное освещение нормально не включено и включается автоматически от действия охранной сигнализации.</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6.3.2. Осветительные приборы наружного освещения (светильники, прожекторы) могут устанавливаться на специально предназначенных для такого освещения опорах, а также на опорах воздушных линий до 1 кВ, опорах контактной сети электрифицированного городского транспорта всех видов токов напряжением до 600 В, стенах и перекрытиях зданий и сооружений, мачтах (в том числе мачтах отдельно стоящих молниеотводов), технологических эстакадах, площадках технологических установок и дымовых труб, парапетах и ограждениях мостов и транспортных эстакад, на металлических, железобетонных и других конструкциях зданий и сооружений независимо от отметки их расположения, могут быть подвешены на тросах, укрепленных на стенах зданий и опорах, а также установлены на уровне земли и ниже.</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6.3.3. Установка светильников наружного освещения на опорах ВЛ до 1 кВ должна выполняться:</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1. При обслуживании светильников с телескопической вышки с изолирующим звеном, как правило, выше проводов ВЛ или на уровне нижних проводов ВЛ при размещении светильников и проводов ВЛ с разных сторон опоры. Расстояние по горизонтали от светильника до ближайшего провода ВЛ должно быть не менее 0,6 м.</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2. При обслуживании светильников иными способами - ниже проводов ВЛ. Расстояние по вертикали от светильника до провода ВЛ (в свету) должно быть не менее 0,2 м, расстояние по горизонтали от светильника до опоры (в свету) должно быть не более 0,4 м.</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6.3.4. При подвеске светильников на тросах должны приниматься меры по исключению раскачивания светильников от воздействия ветра.</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6.3.5. Над проезжей частью улиц, дорог и площадей светильники должны устанавливаться на высоте не менее 6,5 м.</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При установке светильников над контактной сетью трамвая высота установки светильников должна быть не менее 8 м до головки рельса. При расположении светильников над контактной сетью троллейбуса - не менее 9 м от уровня проезжей части. Расстояние по вертикали от проводов линий уличного освещения до поперечин контактной сети или до подвешенных к поперечинам иллюминационных гирлянд должно быть не менее 0,5 м.</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6.3.6. Над бульварами и пешеходными дорогами светильники должны устанавливаться на высоте не менее 3 м.</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Наименьшая высота установки осветительных приборов для освещения газонов и фасадов зданий и сооружений и для декоративного освещения не ограничивается при условии соблюдения требований п. 6.1.15.</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Установка осветительных приборов в приямках ниже уровня земли разрешается при наличии дренажных или других аналогичных устройств по удалению воды из приямков.</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6.3.7. Для освещения транспортных развязок, городских и других площадей светильники могут устанавливаться на опорах высотой 20 м и более при условии обеспечения безопасности их обслуживания (</w:t>
      </w:r>
      <w:proofErr w:type="gramStart"/>
      <w:r>
        <w:rPr>
          <w:color w:val="000000"/>
        </w:rPr>
        <w:t>например</w:t>
      </w:r>
      <w:proofErr w:type="gramEnd"/>
      <w:r>
        <w:rPr>
          <w:color w:val="000000"/>
        </w:rPr>
        <w:t xml:space="preserve"> опускание светильников, устройство площадок, использование вышек и т.п.).</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Допускается размещать светильники в парапетах и ограждениях мостов и эстакад из негорючих материалов на высоте 0,9-1,3 м над проезжей частью при условии защиты от прикосновений к токоведущим частям светильников.</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6.3.8. Опоры установок освещения площадей, улиц, дорог должны располагаться на расстоянии не менее 1 м от лицевой грани бортового камня до внешней поверхности цоколя опоры на магистральных улицах и дорогах с интенсивным транспортным движением и не менее 0,6 м на других улицах, дорогах и площадях. Это расстояние разрешается уменьшать до 0,3 м при условии отсутствия маршрутов городского транспорта и грузовых машин. При отсутствии бортового камня расстояние от кромки проезжей части до внешней поверхности цоколя опоры должно быть не менее 1,75 м.</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На территориях промышленных предприятий расстояние от опоры наружного освещения до проезжей части рекомендуется принимать не менее 1 м. Допускается уменьшение этого расстояния до 0,6 м.</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6.3.9. Опоры освещения улиц и дорог, имеющих разделительные полосы шириной 4 м и более, могут устанавливаться по центру разделительных полос.</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6.3.10. На улицах и дорогах, имеющих кюветы, допускается устанавливать опоры за кюветом, если расстояние от опоры до ближайшей границы проезжей части не превышает 4 м.</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Опора не должна находиться между пожарным гидрантом и проезжей частью.</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6.3.11. Опоры на пересечениях и примыканиях улиц и дорог рекомендуется устанавливать на расстоянии не менее 1,5 м от начала закругления тротуаров, не нарушая линии установки опор.</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6.3.12. Опоры наружного освещения на инженерных сооружениях (мостах, путепроводах, транспортных эстакадах и т.п.) следует устанавливать в створе ограждений в стальных станинах или на фланцах, прикрепляемых к несущим элементам инженерного сооружения.</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lastRenderedPageBreak/>
        <w:t>6.3.13. Опоры для светильников освещения аллей и пешеходных дорог должны располагаться вне пешеходной части.</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6.3.14. Светильники на улицах и дорогах с рядовой посадкой деревьев должны устанавливаться вне крон деревьев на удлиненных кронштейнах, обращенных в сторону проезжей части улицы, или следует применять тросовую подвеску светильников.</w:t>
      </w:r>
    </w:p>
    <w:p w:rsidR="0059151A" w:rsidRDefault="0059151A" w:rsidP="0059151A">
      <w:pPr>
        <w:ind w:firstLine="225"/>
        <w:jc w:val="both"/>
        <w:rPr>
          <w:color w:val="000000"/>
        </w:rPr>
      </w:pPr>
    </w:p>
    <w:p w:rsidR="0059151A" w:rsidRDefault="0059151A" w:rsidP="0059151A">
      <w:pPr>
        <w:ind w:firstLine="225"/>
        <w:jc w:val="both"/>
        <w:rPr>
          <w:color w:val="000000"/>
        </w:rPr>
      </w:pPr>
    </w:p>
    <w:p w:rsidR="0059151A" w:rsidRDefault="0059151A" w:rsidP="0059151A">
      <w:pPr>
        <w:ind w:firstLine="225"/>
        <w:jc w:val="both"/>
        <w:rPr>
          <w:color w:val="000000"/>
        </w:rPr>
      </w:pPr>
    </w:p>
    <w:p w:rsidR="0059151A" w:rsidRDefault="0059151A" w:rsidP="0059151A">
      <w:pPr>
        <w:pStyle w:val="Heading"/>
        <w:jc w:val="center"/>
        <w:rPr>
          <w:color w:val="000000"/>
        </w:rPr>
      </w:pPr>
      <w:r>
        <w:rPr>
          <w:color w:val="000000"/>
        </w:rPr>
        <w:t xml:space="preserve">Питание установок наружного освещения </w:t>
      </w:r>
    </w:p>
    <w:p w:rsidR="0059151A" w:rsidRDefault="0059151A" w:rsidP="0059151A">
      <w:pPr>
        <w:ind w:firstLine="225"/>
        <w:jc w:val="both"/>
        <w:rPr>
          <w:color w:val="000000"/>
        </w:rPr>
      </w:pP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6.3.15. Питание установок наружного освещения может выполняться непосредственно от трансформаторных подстанций, распределительных пунктов и вводно-распределительных устройств (ВРУ).</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6.3.16. Для питания светильников уличного освещения, а также наружного освещения промышленных предприятий должны прокладываться, как правило, самостоятельные линии.</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Питание светильников допускается выполнять от дополнительно прокладываемых для этого фазных и общего нулевого провода воздушной электрической сети города, населенного пункта, промышленного предприятия.</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6.3.17. Осветительные установки городских транспортных и пешеходных тоннелей, осветительные установки улиц, дорог и площадей категории А по надежности электроснабжения относятся ко второй категории, остальные наружные осветительные установки - к третьей категории.</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6.3.18. Питание светильников освещения территорий микрорайонов следует осуществлять непосредственно от пунктов питания наружного освещения или от проходящих вблизи сетей уличного освещения (исключая сети улиц категории А) в зависимости от принятой в населенном пункте системы эксплуатации. Светильники наружного освещения территорий детских яслей-садов, общеобразовательных школ, школ-интернатов, больниц, госпиталей, санаториев, пансионатов, домов отдыха, пионерлагерей могут питаться как от вводных устройств этих зданий или трансформаторных подстанций, так и от ближайших распределительных сетей наружного освещения при условии соблюдения требований п. 6.5.27.</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6.3.19. Освещение открытых технологических установок, открытых площадок производства работ, открытых эстакад, складов и других открытых объектов при производственных зданиях может питаться от сетей внутреннего освещения зданий, к которым эти объекты относятся.</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6.3.20. Охранное освещение рекомендуется питать, как правило, по самостоятельным линиям.</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 xml:space="preserve">6.3.21. Питание осветительных приборов подъездов к противопожарным </w:t>
      </w:r>
      <w:proofErr w:type="spellStart"/>
      <w:r>
        <w:rPr>
          <w:color w:val="000000"/>
        </w:rPr>
        <w:t>водоисточникам</w:t>
      </w:r>
      <w:proofErr w:type="spellEnd"/>
      <w:r>
        <w:rPr>
          <w:color w:val="000000"/>
        </w:rPr>
        <w:t xml:space="preserve"> (гидрантам, водоемам и др.) следует осуществлять от фаз ночного режима сети наружного освещения.</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lastRenderedPageBreak/>
        <w:t>6.3.22. Светильники, установленные у входов в здания, рекомендуется присоединять к групповой сети внутреннего освещения и в первую очередь к сети освещения безопасности или эвакуационного освещения, которые включаются одновременно с рабочим освещением.</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6.3.23. В установках наружного освещения светильники с разрядными источниками должны иметь индивидуальную компенсацию реактивной мощности. Коэффициент мощности должен быть не ниже 0,85.</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6.3.24. При применении прожекторов с разрядными источниками света допускается групповая компенсация реактивной мощности.</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При групповой компенсации необходимо обеспечивать отключение компенсирующих устройств одновременно с отключением компенсируемых ими установок.</w:t>
      </w:r>
    </w:p>
    <w:p w:rsidR="0059151A" w:rsidRDefault="0059151A" w:rsidP="0059151A">
      <w:pPr>
        <w:ind w:firstLine="225"/>
        <w:jc w:val="both"/>
        <w:rPr>
          <w:color w:val="000000"/>
        </w:rPr>
      </w:pPr>
    </w:p>
    <w:p w:rsidR="0059151A" w:rsidRDefault="0059151A" w:rsidP="0059151A">
      <w:pPr>
        <w:ind w:firstLine="225"/>
        <w:jc w:val="both"/>
        <w:rPr>
          <w:color w:val="000000"/>
        </w:rPr>
      </w:pPr>
    </w:p>
    <w:p w:rsidR="0059151A" w:rsidRDefault="0059151A" w:rsidP="0059151A">
      <w:pPr>
        <w:ind w:firstLine="225"/>
        <w:jc w:val="both"/>
        <w:rPr>
          <w:color w:val="000000"/>
        </w:rPr>
      </w:pPr>
    </w:p>
    <w:p w:rsidR="0059151A" w:rsidRDefault="0059151A" w:rsidP="0059151A">
      <w:pPr>
        <w:pStyle w:val="Heading"/>
        <w:jc w:val="center"/>
        <w:rPr>
          <w:color w:val="000000"/>
        </w:rPr>
      </w:pPr>
      <w:r>
        <w:rPr>
          <w:color w:val="000000"/>
        </w:rPr>
        <w:t xml:space="preserve">Выполнение и защита сетей наружного освещения </w:t>
      </w:r>
    </w:p>
    <w:p w:rsidR="0059151A" w:rsidRDefault="0059151A" w:rsidP="0059151A">
      <w:pPr>
        <w:ind w:firstLine="225"/>
        <w:jc w:val="both"/>
        <w:rPr>
          <w:color w:val="000000"/>
        </w:rPr>
      </w:pP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6.3.25. Сети наружного освещения рекомендуется выполнять кабельными или воздушными с использованием самонесущих изолированных проводов. В обоснованных случаях для воздушных распределительных сетей освещения улиц, дорог, площадей, территорий микрорайонов и населенных пунктов допускается использование неизолированных проводов.</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 xml:space="preserve">6.3.26. По опорам контактной сети электрифицированного транспорта напряжением до 600 </w:t>
      </w:r>
      <w:proofErr w:type="gramStart"/>
      <w:r>
        <w:rPr>
          <w:color w:val="000000"/>
        </w:rPr>
        <w:t>В</w:t>
      </w:r>
      <w:proofErr w:type="gramEnd"/>
      <w:r>
        <w:rPr>
          <w:color w:val="000000"/>
        </w:rPr>
        <w:t xml:space="preserve"> постоянного тока разрешается прокладка кабельных линий для питания установленных на опорах осветительных приборов наружного освещения, допускается использование самонесущих изолированных проводов.</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6.3.27. Воздушные линии наружного освещения должны выполняться согласно требованиям гл. 2.4.</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Пересечения линий с улицами и дорогами при пролетах не более 40 м допускается выполнять без применения анкерных опор и двойного крепления проводов.</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6.3.28. Нулевые проводники сети общего пользования, выполненные неизолированными проводами, при использовании их для наружного освещения следует располагать ниже фазных проводов сети общего пользования и фазных проводов сети наружного освещения.</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При использовании существующих опор, принадлежащих электросетевым организациям, не занимающимся эксплуатацией наружного освещения, допускается располагать фазные провода сети наружного освещения ниже нулевых проводников сети общего пользования.</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6.3.29. В местах перехода кабельных линий к воздушным рекомендуется предусматривать отключающие устройства, установленные на опорах на высоте не менее 2,5 м. Установка отключающих устройств не требуется в местах кабельных выходов из пунктов питания наружного освещения на опоры, а также переходов дорог и обходов препятствий, выполняемых кабелем.</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lastRenderedPageBreak/>
        <w:t>6.3.30. В целях резервирования распределительных кабельных линий или линий, выполненных самонесущими изолированными проводами, между крайними светильниками соседних участков для магистральных улиц городов рекомендуется предусматривать нормально отключаемые перемычки (резервные кабельные линии).</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При использовании указанных перемычек, в отступление от п. 6.1.19, снижение напряжения у осветительных приборов допускается увеличивать до 10% номинального.</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6.3.31. Воздушные линии наружного освещения должны выполняться без учета резервирования, а их провода могут быть разного сечения по длине линии.</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6.3.32. Ответвления к светильникам от кабельных линий наружного освещения рекомендуется выполнять, как правило, без разрезания жил кабеля.</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При прокладке указанных кабельных линий на инженерных сооружениях следует предусматривать меры для удобной разделки ответвлений от кабеля к опоре и возможность замены кабеля участками.</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6.3.33. Ввод кабеля в опоры должен ограничиваться цоколем опоры. Цоколи должны иметь размеры, достаточные для размещения в них кабельных разделок и предохранителей или автоматических выключателей, устанавливаемых на ответвлениях к осветительным приборам, и дверцу с замком для эксплуатационного обслуживания.</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Допускается использовать специальные ящики ввода, устанавливаемые на опорах.</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6.3.34. Электропроводка внутри опор наружного освещения должна выполняться изолированными проводами в защитной оболочке или кабелями. Внутри совмещенных опор наружного освещения и контактных сетей электрифицированного городского транспорта должны применяться кабели с изоляцией на напряжение не менее 660 В.</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6.3.35. Линии, питающие светильники, подвешенные на тросах, должны выполняться кабелями, проложенными по тросу, самонесущими изолированными проводами или неизолированными проводами, проложенными на изоляторах при условии соблюдения требований разд. 2.</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6.3.36. Тросы для подвески светильников и питающих линий сети допускается крепить к конструкциям зданий. При этом тросы должны иметь амортизаторы.</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6.3.37. В сетях наружного освещения, питающих осветительные приборы с разрядными лампами, в однофазных цепях сечение нулевых рабочих проводников должно быть равным фазному.</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В трехфазных сетях при одновременном отключении всех фазных проводов линии сечение нулевых рабочих проводников должно выбираться:</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1. Для участков сети, по которым протекает ток от ламп с компенсированными пускорегулирующими аппаратами, равным фазному независимо от сечения.</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lastRenderedPageBreak/>
        <w:t>2. Для участков сети, по которым протекает ток от ламп с некомпенсированными пускорегулирующими аппаратами, равным фазному при сечении фазных проводников менее или равным 16 мм</w:t>
      </w:r>
      <w:r w:rsidR="004379EC" w:rsidRPr="002C2AB7">
        <w:rPr>
          <w:noProof/>
          <w:color w:val="000000"/>
          <w:position w:val="-4"/>
        </w:rPr>
        <w:drawing>
          <wp:inline distT="0" distB="0" distL="0" distR="0">
            <wp:extent cx="104775" cy="20002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00025"/>
                    </a:xfrm>
                    <a:prstGeom prst="rect">
                      <a:avLst/>
                    </a:prstGeom>
                    <a:noFill/>
                    <a:ln>
                      <a:noFill/>
                    </a:ln>
                  </pic:spPr>
                </pic:pic>
              </a:graphicData>
            </a:graphic>
          </wp:inline>
        </w:drawing>
      </w:r>
      <w:r>
        <w:rPr>
          <w:color w:val="000000"/>
        </w:rPr>
        <w:t xml:space="preserve"> для медных и 25 мм</w:t>
      </w:r>
      <w:r w:rsidR="004379EC" w:rsidRPr="002C2AB7">
        <w:rPr>
          <w:noProof/>
          <w:color w:val="000000"/>
          <w:position w:val="-4"/>
        </w:rPr>
        <w:drawing>
          <wp:inline distT="0" distB="0" distL="0" distR="0">
            <wp:extent cx="104775" cy="20002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00025"/>
                    </a:xfrm>
                    <a:prstGeom prst="rect">
                      <a:avLst/>
                    </a:prstGeom>
                    <a:noFill/>
                    <a:ln>
                      <a:noFill/>
                    </a:ln>
                  </pic:spPr>
                </pic:pic>
              </a:graphicData>
            </a:graphic>
          </wp:inline>
        </w:drawing>
      </w:r>
      <w:r>
        <w:rPr>
          <w:color w:val="000000"/>
        </w:rPr>
        <w:t xml:space="preserve"> для алюминиевых проводов и не менее 50% сечения фазных проводников при больших сечениях, но не менее 16 мм</w:t>
      </w:r>
      <w:r w:rsidR="004379EC" w:rsidRPr="002C2AB7">
        <w:rPr>
          <w:noProof/>
          <w:color w:val="000000"/>
          <w:position w:val="-4"/>
        </w:rPr>
        <w:drawing>
          <wp:inline distT="0" distB="0" distL="0" distR="0">
            <wp:extent cx="104775" cy="20002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00025"/>
                    </a:xfrm>
                    <a:prstGeom prst="rect">
                      <a:avLst/>
                    </a:prstGeom>
                    <a:noFill/>
                    <a:ln>
                      <a:noFill/>
                    </a:ln>
                  </pic:spPr>
                </pic:pic>
              </a:graphicData>
            </a:graphic>
          </wp:inline>
        </w:drawing>
      </w:r>
      <w:r>
        <w:rPr>
          <w:color w:val="000000"/>
        </w:rPr>
        <w:t xml:space="preserve"> для медных и 25 мм</w:t>
      </w:r>
      <w:r w:rsidR="004379EC" w:rsidRPr="002C2AB7">
        <w:rPr>
          <w:noProof/>
          <w:color w:val="000000"/>
          <w:position w:val="-4"/>
        </w:rPr>
        <w:drawing>
          <wp:inline distT="0" distB="0" distL="0" distR="0">
            <wp:extent cx="104775" cy="20002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00025"/>
                    </a:xfrm>
                    <a:prstGeom prst="rect">
                      <a:avLst/>
                    </a:prstGeom>
                    <a:noFill/>
                    <a:ln>
                      <a:noFill/>
                    </a:ln>
                  </pic:spPr>
                </pic:pic>
              </a:graphicData>
            </a:graphic>
          </wp:inline>
        </w:drawing>
      </w:r>
      <w:r>
        <w:rPr>
          <w:color w:val="000000"/>
        </w:rPr>
        <w:t xml:space="preserve"> для алюминиевых проводов.</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6.3.38. Прокладку линий, питающих прожекторы, светильники и другое электрооборудование, устанавливаемое на конструкциях с молниеотводами открытых распределительных устройств напряжением выше 1 кВ, следует выполнять согласно требованиям гл. 4.2.</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6.3.39. Коэффициент спроса при расчете сети наружного освещения следует принимать равным 1,0.</w:t>
      </w:r>
    </w:p>
    <w:p w:rsidR="0059151A" w:rsidRDefault="0059151A" w:rsidP="0059151A">
      <w:pPr>
        <w:ind w:firstLine="225"/>
        <w:jc w:val="both"/>
        <w:rPr>
          <w:color w:val="000000"/>
        </w:rPr>
      </w:pPr>
    </w:p>
    <w:p w:rsidR="0059151A" w:rsidRDefault="0059151A" w:rsidP="0059151A">
      <w:pPr>
        <w:ind w:firstLine="225"/>
        <w:jc w:val="both"/>
        <w:rPr>
          <w:color w:val="000000"/>
        </w:rPr>
      </w:pPr>
      <w:r>
        <w:rPr>
          <w:color w:val="000000"/>
        </w:rPr>
        <w:t>6.3.40. На линиях наружного освещения, имеющих более 20 светильников на фазу, ответвления к каждому светильнику должны защищаться индивидуальными предохранителями или автоматическими выключателями.</w:t>
      </w:r>
    </w:p>
    <w:p w:rsidR="0059151A" w:rsidRDefault="0059151A" w:rsidP="0059151A">
      <w:pPr>
        <w:ind w:firstLine="225"/>
        <w:jc w:val="both"/>
        <w:rPr>
          <w:color w:val="000000"/>
        </w:rPr>
      </w:pPr>
    </w:p>
    <w:p w:rsidR="0059151A" w:rsidRDefault="0059151A" w:rsidP="0059151A">
      <w:pPr>
        <w:pStyle w:val="Heading"/>
        <w:jc w:val="center"/>
        <w:rPr>
          <w:color w:val="000000"/>
        </w:rPr>
      </w:pPr>
    </w:p>
    <w:p w:rsidR="0059151A" w:rsidRDefault="0059151A"/>
    <w:sectPr w:rsidR="0059151A" w:rsidSect="0059151A">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151A"/>
    <w:rsid w:val="002100D4"/>
    <w:rsid w:val="004379EC"/>
    <w:rsid w:val="0059151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AC720C2-68BF-49F7-BCB1-11049240B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Heading">
    <w:name w:val="Heading"/>
    <w:rsid w:val="0059151A"/>
    <w:pPr>
      <w:autoSpaceDE w:val="0"/>
      <w:autoSpaceDN w:val="0"/>
      <w:adjustRightInd w:val="0"/>
    </w:pPr>
    <w:rPr>
      <w:rFonts w:ascii="Arial" w:hAnsi="Arial" w:cs="Arial"/>
      <w:b/>
      <w:bCs/>
      <w:sz w:val="22"/>
      <w:szCs w:val="22"/>
    </w:rPr>
  </w:style>
  <w:style w:type="paragraph" w:customStyle="1" w:styleId="Preformat">
    <w:name w:val="Preformat"/>
    <w:rsid w:val="0059151A"/>
    <w:pPr>
      <w:autoSpaceDE w:val="0"/>
      <w:autoSpaceDN w:val="0"/>
      <w:adjustRightInd w:val="0"/>
    </w:pPr>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1655</Words>
  <Characters>11541</Characters>
  <Application>Microsoft Office Word</Application>
  <DocSecurity>0</DocSecurity>
  <Lines>96</Lines>
  <Paragraphs>26</Paragraphs>
  <ScaleCrop>false</ScaleCrop>
  <HeadingPairs>
    <vt:vector size="2" baseType="variant">
      <vt:variant>
        <vt:lpstr>Название</vt:lpstr>
      </vt:variant>
      <vt:variant>
        <vt:i4>1</vt:i4>
      </vt:variant>
    </vt:vector>
  </HeadingPairs>
  <TitlesOfParts>
    <vt:vector size="1" baseType="lpstr">
      <vt:lpstr>Переход к Содержанию документа осуществляется по ссылке </vt:lpstr>
    </vt:vector>
  </TitlesOfParts>
  <Company>vsep</Company>
  <LinksUpToDate>false</LinksUpToDate>
  <CharactersWithSpaces>13170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Переход к Содержанию документа осуществляется по ссылке </dc:title>
  <dc:subject/>
  <dc:creator>admin</dc:creator>
  <cp:keywords/>
  <dc:description/>
  <cp:lastModifiedBy>Aleksander Kirillov</cp:lastModifiedBy>
  <cp:revision>2</cp:revision>
  <dcterms:created xsi:type="dcterms:W3CDTF">2026-01-29T19:45:00Z</dcterms:created>
  <dcterms:modified xsi:type="dcterms:W3CDTF">2026-01-29T19:45:00Z</dcterms:modified>
</cp:coreProperties>
</file>