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9D0" w:rsidRDefault="009829D0" w:rsidP="009829D0">
      <w:pPr>
        <w:pStyle w:val="Preformat"/>
        <w:jc w:val="center"/>
        <w:rPr>
          <w:color w:val="000000"/>
        </w:rPr>
      </w:pPr>
      <w:bookmarkStart w:id="0" w:name="_GoBack"/>
      <w:bookmarkEnd w:id="0"/>
    </w:p>
    <w:p w:rsidR="009829D0" w:rsidRDefault="009829D0" w:rsidP="009829D0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t>#G0</w:t>
      </w:r>
    </w:p>
    <w:p w:rsidR="009829D0" w:rsidRDefault="009829D0" w:rsidP="009829D0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6.2 </w:t>
      </w:r>
    </w:p>
    <w:p w:rsidR="009829D0" w:rsidRDefault="009829D0" w:rsidP="009829D0">
      <w:pPr>
        <w:pStyle w:val="Heading"/>
        <w:jc w:val="center"/>
        <w:rPr>
          <w:color w:val="000000"/>
        </w:rPr>
      </w:pPr>
    </w:p>
    <w:p w:rsidR="009829D0" w:rsidRDefault="009829D0" w:rsidP="009829D0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ВНУТРЕННЕЕ ОСВЕЩЕНИЕ </w:t>
      </w:r>
    </w:p>
    <w:p w:rsidR="009829D0" w:rsidRDefault="009829D0" w:rsidP="009829D0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9829D0" w:rsidRDefault="009829D0" w:rsidP="009829D0">
      <w:pPr>
        <w:pStyle w:val="Heading"/>
        <w:jc w:val="center"/>
        <w:rPr>
          <w:color w:val="000000"/>
        </w:rPr>
      </w:pPr>
    </w:p>
    <w:p w:rsidR="009829D0" w:rsidRDefault="009829D0" w:rsidP="009829D0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требования 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6.2.1. Светильники с люминесцентными лампами должны применяться с пускорегулирующими аппаратами, обеспечивающими коэффициент мощности не ниже 0,9 при светильниках на две лампы и более и 0,85 при одноламповых светильниках.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Для ламп типа ДРЛ, ДРИ, ДРИЗ, </w:t>
      </w:r>
      <w:proofErr w:type="spellStart"/>
      <w:r>
        <w:rPr>
          <w:color w:val="000000"/>
        </w:rPr>
        <w:t>ДНаТ</w:t>
      </w:r>
      <w:proofErr w:type="spellEnd"/>
      <w:r>
        <w:rPr>
          <w:color w:val="000000"/>
        </w:rPr>
        <w:t xml:space="preserve"> может применяться как групповая, так и индивидуальная компенсация реактивной мощности. При наличии технико-экономических обоснований допускается применение указанных ламп без устройства компенсации реактивной мощности. При групповой компенсации должны отключаться компенсирующие устройства одновременно с отключением ламп.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6.2.2. Питание светильника местного освещения (без понижающего трансформатора или через понижающий трансформатор) может осуществляться при помощи ответвления от силовой цепи механизма или станка, для которых предназначен светильник.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этом может не устанавливаться отдельный защитный аппарат в осветительной цепи, если защитный аппарат силовой цепи имеет ток </w:t>
      </w:r>
      <w:proofErr w:type="spellStart"/>
      <w:r>
        <w:rPr>
          <w:color w:val="000000"/>
        </w:rPr>
        <w:t>уставки</w:t>
      </w:r>
      <w:proofErr w:type="spellEnd"/>
      <w:r>
        <w:rPr>
          <w:color w:val="000000"/>
        </w:rPr>
        <w:t xml:space="preserve"> не более 25 А.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Ответвление к светильникам местного освещения при напряжении более 50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в</w:t>
      </w:r>
      <w:proofErr w:type="spellEnd"/>
      <w:r>
        <w:rPr>
          <w:color w:val="000000"/>
        </w:rPr>
        <w:t xml:space="preserve"> пределах рабочего места должно выполняться в трубах и коробах из негорючих материалов и других механически прочных конструкциях.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6.2.3. Питание установок оздоровительного ультрафиолетового облучения должно производиться: установок длительного действия - по отдельным групповым линиям от щитков рабочего освещения или самостоятельных групповых щитков; установок кратковременного действия (фотариев) - по отдельным линиям от электросиловой сети или питающей сети рабочего освещения.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Питающая осветительная сеть 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6.2.4. Рабочее освещение рекомендуется питать по самостоятельным линиям от распределительных устройств подстанций, щитов, шкафов, распределительных пунктов, магистральных и распределительных </w:t>
      </w:r>
      <w:proofErr w:type="spellStart"/>
      <w:r>
        <w:rPr>
          <w:color w:val="000000"/>
        </w:rPr>
        <w:t>шинопроводов</w:t>
      </w:r>
      <w:proofErr w:type="spellEnd"/>
      <w:r>
        <w:rPr>
          <w:color w:val="000000"/>
        </w:rPr>
        <w:t>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6.2.5. Рабочее освещение, освещение безопасности и эвакуационное освещение допускается питать от общих линий с электросиловыми установками или от силовых распределительных пунктов (исключение п. 6.1.28). При этом должны соблюдаться требования к допустимым </w:t>
      </w:r>
      <w:r>
        <w:rPr>
          <w:color w:val="000000"/>
        </w:rPr>
        <w:lastRenderedPageBreak/>
        <w:t>отклонениям и колебаниям напряжения в осветительной сети в соответствии с ГОСТ 13109-87.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6.2.6. Линии питающей сети рабочего освещения, освещения безопасности и эвакуационного освещения, а также линии, питающие иллюминационные установки и световую рекламу, должны иметь в распределительных устройствах, от которых эти линии отходят, самостоятельные аппараты защиты и управления для каждой линии.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устанавливать общий аппарат управления для нескольких линий одного вида освещения или установок, отходящих от распределительного устройства.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6.2.7. При использовании </w:t>
      </w:r>
      <w:proofErr w:type="spellStart"/>
      <w:r>
        <w:rPr>
          <w:color w:val="000000"/>
        </w:rPr>
        <w:t>шинопроводов</w:t>
      </w:r>
      <w:proofErr w:type="spellEnd"/>
      <w:r>
        <w:rPr>
          <w:color w:val="000000"/>
        </w:rPr>
        <w:t xml:space="preserve"> в качестве линий питающей осветительной сети вместо групповых щитков могут применяться присоединяемые к </w:t>
      </w:r>
      <w:proofErr w:type="spellStart"/>
      <w:r>
        <w:rPr>
          <w:color w:val="000000"/>
        </w:rPr>
        <w:t>шинопроводу</w:t>
      </w:r>
      <w:proofErr w:type="spellEnd"/>
      <w:r>
        <w:rPr>
          <w:color w:val="000000"/>
        </w:rPr>
        <w:t xml:space="preserve"> отдельные аппараты защиты и управления для питания групп светильников. При этом должен быть обеспечен удобный и безопасный доступ к указанным аппаратам.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6.2.8. В местах присоединения линий питающей осветительной сети к линии питания электросиловых установок или к силовым распределительным пунктам (п. 6.2.5) должны устанавливаться аппараты защиты и управления.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питании осветительной сети от силовых распределительных пунктов, к которым присоединены непосредственно силовые </w:t>
      </w:r>
      <w:proofErr w:type="spellStart"/>
      <w:r>
        <w:rPr>
          <w:color w:val="000000"/>
        </w:rPr>
        <w:t>электроприемники</w:t>
      </w:r>
      <w:proofErr w:type="spellEnd"/>
      <w:r>
        <w:rPr>
          <w:color w:val="000000"/>
        </w:rPr>
        <w:t>, осветительная сеть должна подключаться к вводным зажимам этих пунктов.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Групповая сеть 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6.2.9. Линии групповой сети внутреннего освещения должны быть защищены предохранителями или автоматическими выключателями.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6.2.10. Каждая групповая линия, как правило, должна содержать на фазу не более 20 ламп накаливания, ДРЛ, ДРИ, ДРИЗ, </w:t>
      </w:r>
      <w:proofErr w:type="spellStart"/>
      <w:r>
        <w:rPr>
          <w:color w:val="000000"/>
        </w:rPr>
        <w:t>ДНаТ</w:t>
      </w:r>
      <w:proofErr w:type="spellEnd"/>
      <w:r>
        <w:rPr>
          <w:color w:val="000000"/>
        </w:rPr>
        <w:t>, в это число включаются также штепсельные розетки.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В производственных, общественных и жилых зданиях на однофазные группы освещения лестниц, этажных коридоров, холлов, технических подполий и чердаков допускается присоединять до 60 ламп накаливания, каждая мощностью до 60 Вт.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Для групповых линий, питающих световые карнизы, световые потолки и т.п. с лампами накаливания, а также светильники с люминесцентными лампами мощностью до 80 Вт, рекомендуется присоединять до 60 ламп на фазу; для линий, питающих светильники с люминесцентными лампами мощностью до 40 Вт включительно, может присоединяться до 75 ламп на фазу и мощностью до 20 Вт включительно - до 100 ламп на фазу.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Для групповых линий, питающих многоламповые люстры, число ламп любого типа на фазу не ограничивается.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В групповых линиях, питающих лампы мощностью 10 кВт и больше, каждая лампа должна иметь самостоятельный аппарат защиты.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6.2.11. В начале каждой групповой линии, в том числе питаемой от </w:t>
      </w:r>
      <w:proofErr w:type="spellStart"/>
      <w:r>
        <w:rPr>
          <w:color w:val="000000"/>
        </w:rPr>
        <w:t>шинопроводов</w:t>
      </w:r>
      <w:proofErr w:type="spellEnd"/>
      <w:r>
        <w:rPr>
          <w:color w:val="000000"/>
        </w:rPr>
        <w:t>, должны быть установлены аппараты защиты на всех фазных проводниках. Установка аппаратов защиты в нулевых защитных проводниках запрещается.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6.2.12. Рабочие нулевые проводники групповых линий должны прокладываться при применении металлических труб совместно с фазными проводниками в одной трубе, а при прокладке кабелями или многожильными проводами должны быть заключены в общую оболочку с фазными проводами.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6.2.13. Совместная прокладка проводов и кабелей групповых линий рабочего освещения с групповыми линиями освещения безопасности и эвакуационного освещения не рекомендуется.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их совместная прокладка на одном монтажном профиле, в одном коробе, лотке при условии, что приняты специальные меры, исключающие возможность повреждения проводов освещения безопасности и эвакуационного при неисправности проводов рабочего освещения, в корпусах и штангах светильников.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6.2.14. Светильники рабочего освещения, освещения безопасности или эвакуационного освещения допускается питать от разных фаз одного трехфазного </w:t>
      </w:r>
      <w:proofErr w:type="spellStart"/>
      <w:r>
        <w:rPr>
          <w:color w:val="000000"/>
        </w:rPr>
        <w:t>шинопровода</w:t>
      </w:r>
      <w:proofErr w:type="spellEnd"/>
      <w:r>
        <w:rPr>
          <w:color w:val="000000"/>
        </w:rPr>
        <w:t xml:space="preserve"> при условии прокладки к </w:t>
      </w:r>
      <w:proofErr w:type="spellStart"/>
      <w:r>
        <w:rPr>
          <w:color w:val="000000"/>
        </w:rPr>
        <w:t>шинопроводу</w:t>
      </w:r>
      <w:proofErr w:type="spellEnd"/>
      <w:r>
        <w:rPr>
          <w:color w:val="000000"/>
        </w:rPr>
        <w:t xml:space="preserve"> самостоятельных линий для рабочего освещения и освещения безопасности или эвакуационного освещения.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ind w:firstLine="225"/>
        <w:jc w:val="both"/>
        <w:rPr>
          <w:color w:val="000000"/>
        </w:rPr>
      </w:pPr>
      <w:r>
        <w:rPr>
          <w:color w:val="000000"/>
        </w:rPr>
        <w:t>6.2.15. Светильники, устанавливаемые в подвесные потолки из горючих материалов, должны иметь между местами их примыкания к конструкции потолка прокладки из негорючих теплостойких материалов в соответствии с требованиями НПБ 249-97.</w:t>
      </w:r>
    </w:p>
    <w:p w:rsidR="009829D0" w:rsidRDefault="009829D0" w:rsidP="009829D0">
      <w:pPr>
        <w:ind w:firstLine="225"/>
        <w:jc w:val="both"/>
        <w:rPr>
          <w:color w:val="000000"/>
        </w:rPr>
      </w:pPr>
    </w:p>
    <w:p w:rsidR="009829D0" w:rsidRDefault="009829D0" w:rsidP="009829D0">
      <w:pPr>
        <w:pStyle w:val="Heading"/>
        <w:jc w:val="center"/>
        <w:rPr>
          <w:color w:val="000000"/>
        </w:rPr>
      </w:pPr>
    </w:p>
    <w:p w:rsidR="009829D0" w:rsidRDefault="009829D0"/>
    <w:sectPr w:rsidR="009829D0" w:rsidSect="009829D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9D0"/>
    <w:rsid w:val="009829D0"/>
    <w:rsid w:val="00DD4107"/>
    <w:rsid w:val="00DD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B3C1B5-9FCE-4B6B-8105-FDF8D3C0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Heading">
    <w:name w:val="Heading"/>
    <w:rsid w:val="009829D0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9829D0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746</Words>
  <Characters>5265</Characters>
  <Application>Microsoft Office Word</Application>
  <DocSecurity>0</DocSecurity>
  <Lines>43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 </dc:title>
  <dc:subject/>
  <dc:creator>admin</dc:creator>
  <cp:keywords/>
  <dc:description/>
  <cp:lastModifiedBy>Aleksander Kirillov</cp:lastModifiedBy>
  <cp:revision>2</cp:revision>
  <dcterms:created xsi:type="dcterms:W3CDTF">2026-01-29T19:45:00Z</dcterms:created>
  <dcterms:modified xsi:type="dcterms:W3CDTF">2026-01-29T19:45:00Z</dcterms:modified>
</cp:coreProperties>
</file>