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  <w:b/>
          <w:sz w:val="32"/>
        </w:rPr>
        <w:t xml:space="preserve">INVOICE S-101</w:t>
      </w:r>
    </w:p>
    <w:p>
      <w:pPr/>
      <w:r>
        <w:rPr>
          <w:rFonts w:ascii="Noto Sans" w:hAnsi="Noto Sans"/>
        </w:rPr>
        <w:t xml:space="preserve">Consulting services</w:t>
      </w:r>
    </w:p>
    <w:tbl>
      <w:tblPr>
        <w:tblW w:type="dxa" w:w="5000"/>
      </w:tblPr>
      <w:tblGrid>
        <w:gridCol w:w="2500"/>
        <w:gridCol w:w="2500"/>
      </w:tblGrid>
      <w:tr>
        <w:tc>
          <w:tcPr/>
          <w:p>
            <w:pPr/>
            <w:r>
              <w:rPr>
                <w:rFonts w:ascii="Noto Sans" w:hAnsi="Noto Sans"/>
              </w:rPr>
              <w:t xml:space="preserve">Discovery workshop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1200 EUR</w:t>
            </w:r>
          </w:p>
        </w:tc>
      </w:tr>
    </w:tbl>
    <w:p>
      <w:pPr/>
      <w:r>
        <w:rPr>
          <w:rFonts w:ascii="Noto Sans" w:hAnsi="Noto Sans"/>
        </w:rPr>
        <w:t xml:space="preserve">Payment due in 30 days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