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ANNUAL REVIEW</w:t>
      </w:r>
    </w:p>
    <w:p>
      <w:pPr/>
      <w:r>
        <w:rPr>
          <w:rFonts w:ascii="Noto Sans" w:hAnsi="Noto Sans"/>
        </w:rPr>
        <w:t xml:space="preserve">Results for the year</w:t>
      </w:r>
    </w:p>
    <w:p>
      <w:pPr>
        <w:pageBreakBefore/>
      </w:pPr>
      <w:r>
        <w:rPr>
          <w:rFonts w:ascii="Noto Sans" w:hAnsi="Noto Sans"/>
        </w:rPr>
        <w:t xml:space="preserve">APPENDIX</w:t>
      </w:r>
    </w:p>
    <w:p>
      <w:pPr/>
      <w:r>
        <w:rPr>
          <w:rFonts w:ascii="Noto Sans" w:hAnsi="Noto Sans"/>
        </w:rPr>
        <w:t xml:space="preserve">Independent audit completed</w:t>
      </w:r>
    </w:p>
    <w:sectPr>
      <w:pgSz w:w="11906" w:h="16838"/>
      <w:pgMar w:top="1440" w:right="1440" w:bottom="1440" w:left="1440" w:header="720" w:footer="720"/>
    </w:sectPr>
  </w:body>
</w:document>
</file>

<file path=word/_rels/document.xml.rels><Relationships xmlns="http://schemas.openxmlformats.org/package/2006/relationships"></Relationships>
</file>