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dependent contrast">
  <a:themeElements>
    <a:clrScheme name="Independent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2266CC"/>
      </a:accent1>
      <a:accent2>
        <a:srgbClr val="228844"/>
      </a:accent2>
      <a:accent3>
        <a:srgbClr val="AA4400"/>
      </a:accent3>
      <a:accent4>
        <a:srgbClr val="8844AA"/>
      </a:accent4>
      <a:accent5>
        <a:srgbClr val="008888"/>
      </a:accent5>
      <a:accent6>
        <a:srgbClr val="888800"/>
      </a:accent6>
      <a:hlink>
        <a:srgbClr val="0000FF"/>
      </a:hlink>
      <a:folHlink>
        <a:srgbClr val="800080"/>
      </a:folHlink>
    </a:clrScheme>
    <a:fontScheme name="Independent">
      <a:majorFont>
        <a:latin typeface="Liberation Mono"/>
        <a:ea typeface=""/>
        <a:cs typeface=""/>
      </a:majorFont>
      <a:minorFont>
        <a:latin typeface="Liberation Mono"/>
        <a:ea typeface=""/>
        <a:cs typeface=""/>
      </a:minorFont>
    </a:fontScheme>
    <a:fmtScheme name="Independen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