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DELIVERY NOTICE</w:t>
      </w:r>
    </w:p>
    <w:p>
      <w:r>
        <w:pict xmlns:v="urn:schemas-microsoft-com:vml">
          <v:shape id="synthetic-box" style="position:absolute;left:200pt;top:40pt">
            <v:textbox>
              <w:txbxContent>
                <w:p>
                  <w:pPr/>
                  <w:r>
                    <w:rPr>
                      <w:rFonts w:ascii="Noto Sans" w:hAnsi="Noto Sans"/>
                    </w:rPr>
                    <w:t xml:space="preserve">Routing label</w:t>
                  </w:r>
                </w:p>
              </w:txbxContent>
            </v:textbox>
          </v:shape>
        </w:pict>
      </w:r>
    </w:p>
    <w:p>
      <w:pPr/>
      <w:r>
        <w:rPr>
          <w:rFonts w:ascii="Noto Sans" w:hAnsi="Noto Sans"/>
        </w:rPr>
        <w:t xml:space="preserve">Dispatch reference SYN-404</w:t>
      </w:r>
    </w:p>
    <w:p>
      <w:pPr/>
      <w:r>
        <w:rPr>
          <w:rFonts w:ascii="Noto Sans" w:hAnsi="Noto Sans"/>
        </w:rPr>
        <w:t xml:space="preserve">Retain this notice.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