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Grouped revenue</w:t>
      </w:r>
    </w:p>
    <w:sdt>
      <w:sdtPr>
        <w:tag w:val="repeat:Groups"/>
      </w:sdtPr>
      <w:sdtContent>
        <w:p>
          <w:fldSimple w:instr="MERGEFIELD Key">
            <w:r>
              <w:t>cached</w:t>
            </w:r>
          </w:fldSimple>
        </w:p>
        <w:p>
          <w:fldSimple w:instr="MERGEFIELD Sum">
            <w:r>
              <w:t>cached</w:t>
            </w:r>
          </w:fldSimple>
        </w:p>
        <w:p>
          <w:fldSimple w:instr="MERGEFIELD Count">
            <w:r>
              <w:t>cached</w:t>
            </w:r>
          </w:fldSimple>
        </w:p>
      </w:sdtContent>
    </w:sdt>
    <w:p>
      <w:fldSimple w:instr="MERGEFIELD Total">
        <w:r>
          <w:t>cached</w:t>
        </w:r>
      </w:fldSimple>
    </w:p>
    <w:sdt>
      <w:sdtPr>
        <w:tag w:val="if:ShowTerms"/>
      </w:sdtPr>
      <w:sdtContent>
        <w:p>
          <w:r>
            <w:t>Immediate payment</w:t>
          </w:r>
        </w:p>
      </w:sdtContent>
    </w:sdt>
  </w:body>
</w:document>
</file>