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天机平台统一设计规范V1.0@20260525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规范目标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制定目的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为保证公共数据授权运营体系下各子系统界面体验一致性，提升平台整体品牌统一性，避免因多团队开发导致界面风格差异较大，制定本规范。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本规范以：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统一基础体验、统一品牌认知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为目标，仅约束必须统一内容，其余功能页面、业务交互、界面设计允许各系统根据业务特点自主设计。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本规范适用于：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公共数据授权运营后台支撑子系统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运营支撑类系统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集成接入类子系统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后续新建系统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第三方系统接入时，应尽可能遵循本规范要求。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设计UI 参照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5310"/>
        <w:gridCol w:w="118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链接/截图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公共数据授权运营门户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https://www.figma.com/design/TS228GylEHYjcWwPLvGXzr/%E5%AE%9E%E9%AA%8C%E5%AE%A4%E6%95%B4%E4%BD%93%E9%A1%B9%E7%9B%AE%E6%B5%81%E7%A8%8B%E5%8F%8A%E4%BA%A4%E4%BA%92?node-id=360-12429&amp;p=f&amp;t=GdayVTGZHmM1y7tl-0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门户 logo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33375" cy="3238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导航栏和菜单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19450" cy="15049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截图仅供参照，建议开发前，先浏览公共授权运营服务平台门户。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产品切换器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https://tianjiintelop.netlify.app/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设计规范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顶部导航栏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导航栏样式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所有子系统顶部导航栏须保持统一风格。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导航栏背景色统一为 </w:t>
      </w:r>
      <w:r>
        <w:rPr>
          <w:rFonts w:eastAsia="等线" w:ascii="Arial" w:cs="Arial" w:hAnsi="Arial"/>
          <w:b w:val="true"/>
          <w:sz w:val="22"/>
        </w:rPr>
        <w:t>黑色，</w:t>
      </w:r>
      <w:r>
        <w:rPr>
          <w:rFonts w:eastAsia="等线" w:ascii="Arial" w:cs="Arial" w:hAnsi="Arial"/>
          <w:sz w:val="22"/>
        </w:rPr>
        <w:t>色号：#030714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导航栏高度固定，56px，（与运营门户保持一致）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导航栏整体布局保持一致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 使用平台统一提供版本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保持所有系统统一品牌感知与一致入口体验。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Logo 规范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 Logo 使用统一版本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 固定展示于顶部左侧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Logo 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统一跳转至运营门户首页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 自定义替换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跳转至各自首页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跳转无效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3.1.3 </w:t>
      </w:r>
      <w:r>
        <w:rPr>
          <w:rFonts w:eastAsia="等线" w:ascii="Arial" w:cs="Arial" w:hAnsi="Arial"/>
          <w:b w:val="true"/>
          <w:sz w:val="30"/>
        </w:rPr>
        <w:t>用户账户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顶部右侧统一展示用户账户信息。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统一要求：统一姓名第一个字圆圈，蓝底白字。蓝色号：色号：#0A61FF，默认显示账号名。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下拉展示，支持：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账号名（姓名）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企业基本信息（可选）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个人基本信息（可选）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可根据系统情况扩展：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企业基本信息、个人基本信息，跳转统一身份认证平台（IDAAS）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非强制要求，但展示样式需保持一致。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产品切换器（可选）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多模块系统、集成型系统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3.2.1 </w:t>
      </w:r>
      <w:r>
        <w:rPr>
          <w:rFonts w:eastAsia="等线" w:ascii="Arial" w:cs="Arial" w:hAnsi="Arial"/>
          <w:b w:val="true"/>
          <w:sz w:val="30"/>
        </w:rPr>
        <w:t>产品切换器位置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统一要求：固定于顶部导航栏系统 logo右侧。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样式：弹层样式、展示形式、交互方式保持统一。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3.2.2 </w:t>
      </w:r>
      <w:r>
        <w:rPr>
          <w:rFonts w:eastAsia="等线" w:ascii="Arial" w:cs="Arial" w:hAnsi="Arial"/>
          <w:b w:val="true"/>
          <w:sz w:val="30"/>
        </w:rPr>
        <w:t>默认展示内容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产品切换器需与现有设计保持一致。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默认展示门户入口（可选）：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公共数据授权运营服务平台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数据实验室运营平台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放置于显眼位置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支持快速跳转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展示顺序保持一致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左侧功能菜单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3.3.1 </w:t>
      </w:r>
      <w:r>
        <w:rPr>
          <w:rFonts w:eastAsia="等线" w:ascii="Arial" w:cs="Arial" w:hAnsi="Arial"/>
          <w:b w:val="true"/>
          <w:sz w:val="30"/>
        </w:rPr>
        <w:t>菜单层级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左侧菜单建议允许：一级菜单 + 二级菜单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不建议出现三级菜单。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目的：保持信息结构清晰。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3.3.2 </w:t>
      </w:r>
      <w:r>
        <w:rPr>
          <w:rFonts w:eastAsia="等线" w:ascii="Arial" w:cs="Arial" w:hAnsi="Arial"/>
          <w:b w:val="true"/>
          <w:sz w:val="30"/>
        </w:rPr>
        <w:t>菜单高亮样式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当前菜单高亮颜色统一为 </w:t>
      </w:r>
      <w:r>
        <w:rPr>
          <w:rFonts w:eastAsia="等线" w:ascii="Arial" w:cs="Arial" w:hAnsi="Arial"/>
          <w:b w:val="true"/>
          <w:sz w:val="22"/>
        </w:rPr>
        <w:t>深蓝色，</w:t>
      </w:r>
      <w:r>
        <w:rPr>
          <w:rFonts w:eastAsia="等线" w:ascii="Arial" w:cs="Arial" w:hAnsi="Arial"/>
          <w:sz w:val="22"/>
        </w:rPr>
        <w:t>与门户系统保持一致，色号：#0A61FF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Hover 风格保持一致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展开收起逻辑统一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具体效果：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参照统一 UI 规范示例。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3.3.3 </w:t>
      </w:r>
      <w:r>
        <w:rPr>
          <w:rFonts w:eastAsia="等线" w:ascii="Arial" w:cs="Arial" w:hAnsi="Arial"/>
          <w:b w:val="true"/>
          <w:sz w:val="30"/>
        </w:rPr>
        <w:t>菜单布局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统一支持：左侧菜单折叠展开能力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以适配：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大屏显示器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笔记本设备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页面布局与操作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页面布局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页面建议保持统一基础结构：查询区域 → 操作区域 → 数据列表 → 分页区域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目的：保持用户使用习惯一致。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允许：页面内容根据业务自由设计。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操作按钮规范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列表操作列要求：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当按钮数量：超过 3 个，统一要求：收起至「更多」菜单中。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编辑｜删除｜授权｜查看详情｜日志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编辑｜更多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目的：保持页面整洁，提高可读性。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3.4.1 </w:t>
      </w:r>
      <w:r>
        <w:rPr>
          <w:rFonts w:eastAsia="等线" w:ascii="Arial" w:cs="Arial" w:hAnsi="Arial"/>
          <w:b w:val="true"/>
          <w:sz w:val="30"/>
        </w:rPr>
        <w:t>文本选中高亮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统一要求：文本选中高亮颜色统一为蓝色。色号：#0A61FF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保持系统一致性体验。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界面适配性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所有子系统必须支持：自适应布局（Responsive）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需兼容：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大屏显示器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主流笔记本设备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最低要求：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不出现明显布局错位、内容遮挡、超出屏幕等问题。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固定宽度导致页面变形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页面无法正常缩放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小屏设备出现严重体验问题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规范执行说明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本规范以：</w:t>
      </w:r>
      <w:r>
        <w:rPr>
          <w:rFonts w:eastAsia="等线" w:ascii="Arial" w:cs="Arial" w:hAnsi="Arial"/>
          <w:b w:val="true"/>
          <w:sz w:val="22"/>
        </w:rPr>
        <w:t>统一基础体验，保留业务灵活性</w:t>
      </w:r>
      <w:r>
        <w:rPr>
          <w:rFonts w:eastAsia="等线" w:ascii="Arial" w:cs="Arial" w:hAnsi="Arial"/>
          <w:sz w:val="22"/>
        </w:rPr>
        <w:t>为原则。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除上述基本要求外：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各系统可根据自身业务特点维护界面风格与功能设计。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后续如平台统一组件库成熟，将逐步推进：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导航栏、产品切换器、菜单、账户信息等公共组件统一化。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1419">
    <w:lvl>
      <w:numFmt w:val="bullet"/>
      <w:suff w:val="tab"/>
      <w:lvlText w:val="•"/>
      <w:rPr>
        <w:color w:val="3370ff"/>
      </w:rPr>
    </w:lvl>
  </w:abstractNum>
  <w:abstractNum w:abstractNumId="761420">
    <w:lvl>
      <w:numFmt w:val="bullet"/>
      <w:suff w:val="tab"/>
      <w:lvlText w:val="•"/>
      <w:rPr>
        <w:color w:val="3370ff"/>
      </w:rPr>
    </w:lvl>
  </w:abstractNum>
  <w:abstractNum w:abstractNumId="761421">
    <w:lvl>
      <w:numFmt w:val="bullet"/>
      <w:suff w:val="tab"/>
      <w:lvlText w:val="•"/>
      <w:rPr>
        <w:color w:val="3370ff"/>
      </w:rPr>
    </w:lvl>
  </w:abstractNum>
  <w:abstractNum w:abstractNumId="761422">
    <w:lvl>
      <w:numFmt w:val="bullet"/>
      <w:suff w:val="tab"/>
      <w:lvlText w:val="•"/>
      <w:rPr>
        <w:color w:val="3370ff"/>
      </w:rPr>
    </w:lvl>
  </w:abstractNum>
  <w:abstractNum w:abstractNumId="761423">
    <w:lvl>
      <w:numFmt w:val="bullet"/>
      <w:suff w:val="tab"/>
      <w:lvlText w:val="•"/>
      <w:rPr>
        <w:color w:val="3370ff"/>
      </w:rPr>
    </w:lvl>
  </w:abstractNum>
  <w:abstractNum w:abstractNumId="761424">
    <w:lvl>
      <w:numFmt w:val="bullet"/>
      <w:suff w:val="tab"/>
      <w:lvlText w:val="•"/>
      <w:rPr>
        <w:color w:val="3370ff"/>
      </w:rPr>
    </w:lvl>
  </w:abstractNum>
  <w:abstractNum w:abstractNumId="761425">
    <w:lvl>
      <w:numFmt w:val="bullet"/>
      <w:suff w:val="tab"/>
      <w:lvlText w:val="•"/>
      <w:rPr>
        <w:color w:val="3370ff"/>
      </w:rPr>
    </w:lvl>
  </w:abstractNum>
  <w:abstractNum w:abstractNumId="761426">
    <w:lvl>
      <w:numFmt w:val="bullet"/>
      <w:suff w:val="tab"/>
      <w:lvlText w:val="•"/>
      <w:rPr>
        <w:color w:val="3370ff"/>
      </w:rPr>
    </w:lvl>
  </w:abstractNum>
  <w:abstractNum w:abstractNumId="761427">
    <w:lvl>
      <w:numFmt w:val="bullet"/>
      <w:suff w:val="tab"/>
      <w:lvlText w:val="•"/>
      <w:rPr>
        <w:color w:val="3370ff"/>
      </w:rPr>
    </w:lvl>
  </w:abstractNum>
  <w:abstractNum w:abstractNumId="761428">
    <w:lvl>
      <w:numFmt w:val="bullet"/>
      <w:suff w:val="tab"/>
      <w:lvlText w:val="•"/>
      <w:rPr>
        <w:color w:val="3370ff"/>
      </w:rPr>
    </w:lvl>
  </w:abstractNum>
  <w:abstractNum w:abstractNumId="761429">
    <w:lvl>
      <w:numFmt w:val="bullet"/>
      <w:suff w:val="tab"/>
      <w:lvlText w:val="•"/>
      <w:rPr>
        <w:color w:val="3370ff"/>
      </w:rPr>
    </w:lvl>
  </w:abstractNum>
  <w:abstractNum w:abstractNumId="761430">
    <w:lvl>
      <w:numFmt w:val="bullet"/>
      <w:suff w:val="tab"/>
      <w:lvlText w:val="•"/>
      <w:rPr>
        <w:color w:val="3370ff"/>
      </w:rPr>
    </w:lvl>
  </w:abstractNum>
  <w:abstractNum w:abstractNumId="761431">
    <w:lvl>
      <w:numFmt w:val="bullet"/>
      <w:suff w:val="tab"/>
      <w:lvlText w:val="•"/>
      <w:rPr>
        <w:color w:val="3370ff"/>
      </w:rPr>
    </w:lvl>
  </w:abstractNum>
  <w:abstractNum w:abstractNumId="761432">
    <w:lvl>
      <w:numFmt w:val="bullet"/>
      <w:suff w:val="tab"/>
      <w:lvlText w:val="•"/>
      <w:rPr>
        <w:color w:val="3370ff"/>
      </w:rPr>
    </w:lvl>
  </w:abstractNum>
  <w:abstractNum w:abstractNumId="761433">
    <w:lvl>
      <w:numFmt w:val="bullet"/>
      <w:suff w:val="tab"/>
      <w:lvlText w:val="•"/>
      <w:rPr>
        <w:color w:val="3370ff"/>
      </w:rPr>
    </w:lvl>
  </w:abstractNum>
  <w:abstractNum w:abstractNumId="761434">
    <w:lvl>
      <w:numFmt w:val="bullet"/>
      <w:suff w:val="tab"/>
      <w:lvlText w:val="•"/>
      <w:rPr>
        <w:color w:val="3370ff"/>
      </w:rPr>
    </w:lvl>
  </w:abstractNum>
  <w:abstractNum w:abstractNumId="761435">
    <w:lvl>
      <w:numFmt w:val="bullet"/>
      <w:suff w:val="tab"/>
      <w:lvlText w:val="•"/>
      <w:rPr>
        <w:color w:val="3370ff"/>
      </w:rPr>
    </w:lvl>
  </w:abstractNum>
  <w:abstractNum w:abstractNumId="761436">
    <w:lvl>
      <w:numFmt w:val="bullet"/>
      <w:suff w:val="tab"/>
      <w:lvlText w:val="•"/>
      <w:rPr>
        <w:color w:val="3370ff"/>
      </w:rPr>
    </w:lvl>
  </w:abstractNum>
  <w:abstractNum w:abstractNumId="761437">
    <w:lvl>
      <w:numFmt w:val="bullet"/>
      <w:suff w:val="tab"/>
      <w:lvlText w:val="•"/>
      <w:rPr>
        <w:color w:val="3370ff"/>
      </w:rPr>
    </w:lvl>
  </w:abstractNum>
  <w:abstractNum w:abstractNumId="761438">
    <w:lvl>
      <w:numFmt w:val="bullet"/>
      <w:suff w:val="tab"/>
      <w:lvlText w:val="•"/>
      <w:rPr>
        <w:color w:val="3370ff"/>
      </w:rPr>
    </w:lvl>
  </w:abstractNum>
  <w:abstractNum w:abstractNumId="761439">
    <w:lvl>
      <w:numFmt w:val="bullet"/>
      <w:suff w:val="tab"/>
      <w:lvlText w:val="•"/>
      <w:rPr>
        <w:color w:val="3370ff"/>
      </w:rPr>
    </w:lvl>
  </w:abstractNum>
  <w:abstractNum w:abstractNumId="761440">
    <w:lvl>
      <w:numFmt w:val="bullet"/>
      <w:suff w:val="tab"/>
      <w:lvlText w:val="•"/>
      <w:rPr>
        <w:color w:val="3370ff"/>
      </w:rPr>
    </w:lvl>
  </w:abstractNum>
  <w:abstractNum w:abstractNumId="761441">
    <w:lvl>
      <w:numFmt w:val="bullet"/>
      <w:suff w:val="tab"/>
      <w:lvlText w:val="•"/>
      <w:rPr>
        <w:color w:val="3370ff"/>
      </w:rPr>
    </w:lvl>
  </w:abstractNum>
  <w:abstractNum w:abstractNumId="761442">
    <w:lvl>
      <w:numFmt w:val="bullet"/>
      <w:suff w:val="tab"/>
      <w:lvlText w:val="•"/>
      <w:rPr>
        <w:color w:val="3370ff"/>
      </w:rPr>
    </w:lvl>
  </w:abstractNum>
  <w:abstractNum w:abstractNumId="761443">
    <w:lvl>
      <w:numFmt w:val="bullet"/>
      <w:suff w:val="tab"/>
      <w:lvlText w:val="•"/>
      <w:rPr>
        <w:color w:val="3370ff"/>
      </w:rPr>
    </w:lvl>
  </w:abstractNum>
  <w:abstractNum w:abstractNumId="761444">
    <w:lvl>
      <w:numFmt w:val="bullet"/>
      <w:suff w:val="tab"/>
      <w:lvlText w:val="•"/>
      <w:rPr>
        <w:color w:val="3370ff"/>
      </w:rPr>
    </w:lvl>
  </w:abstractNum>
  <w:abstractNum w:abstractNumId="761445">
    <w:lvl>
      <w:numFmt w:val="bullet"/>
      <w:suff w:val="tab"/>
      <w:lvlText w:val="•"/>
      <w:rPr>
        <w:color w:val="3370ff"/>
      </w:rPr>
    </w:lvl>
  </w:abstractNum>
  <w:abstractNum w:abstractNumId="761446">
    <w:lvl>
      <w:numFmt w:val="bullet"/>
      <w:suff w:val="tab"/>
      <w:lvlText w:val="•"/>
      <w:rPr>
        <w:color w:val="3370ff"/>
      </w:rPr>
    </w:lvl>
  </w:abstractNum>
  <w:abstractNum w:abstractNumId="761447">
    <w:lvl>
      <w:numFmt w:val="bullet"/>
      <w:suff w:val="tab"/>
      <w:lvlText w:val="•"/>
      <w:rPr>
        <w:color w:val="3370ff"/>
      </w:rPr>
    </w:lvl>
  </w:abstractNum>
  <w:abstractNum w:abstractNumId="761448">
    <w:lvl>
      <w:numFmt w:val="bullet"/>
      <w:suff w:val="tab"/>
      <w:lvlText w:val="•"/>
      <w:rPr>
        <w:color w:val="3370ff"/>
      </w:rPr>
    </w:lvl>
  </w:abstractNum>
  <w:abstractNum w:abstractNumId="761449">
    <w:lvl>
      <w:numFmt w:val="bullet"/>
      <w:suff w:val="tab"/>
      <w:lvlText w:val="•"/>
      <w:rPr>
        <w:color w:val="3370ff"/>
      </w:rPr>
    </w:lvl>
  </w:abstractNum>
  <w:abstractNum w:abstractNumId="761450">
    <w:lvl>
      <w:numFmt w:val="bullet"/>
      <w:suff w:val="tab"/>
      <w:lvlText w:val="•"/>
      <w:rPr>
        <w:color w:val="3370ff"/>
      </w:rPr>
    </w:lvl>
  </w:abstractNum>
  <w:abstractNum w:abstractNumId="761451">
    <w:lvl>
      <w:numFmt w:val="bullet"/>
      <w:suff w:val="tab"/>
      <w:lvlText w:val="•"/>
      <w:rPr>
        <w:color w:val="3370ff"/>
      </w:rPr>
    </w:lvl>
  </w:abstractNum>
  <w:num w:numId="1">
    <w:abstractNumId w:val="761419"/>
  </w:num>
  <w:num w:numId="2">
    <w:abstractNumId w:val="761420"/>
  </w:num>
  <w:num w:numId="3">
    <w:abstractNumId w:val="761421"/>
  </w:num>
  <w:num w:numId="4">
    <w:abstractNumId w:val="761422"/>
  </w:num>
  <w:num w:numId="5">
    <w:abstractNumId w:val="761423"/>
  </w:num>
  <w:num w:numId="6">
    <w:abstractNumId w:val="761424"/>
  </w:num>
  <w:num w:numId="7">
    <w:abstractNumId w:val="761425"/>
  </w:num>
  <w:num w:numId="8">
    <w:abstractNumId w:val="761426"/>
  </w:num>
  <w:num w:numId="9">
    <w:abstractNumId w:val="761427"/>
  </w:num>
  <w:num w:numId="10">
    <w:abstractNumId w:val="761428"/>
  </w:num>
  <w:num w:numId="11">
    <w:abstractNumId w:val="761429"/>
  </w:num>
  <w:num w:numId="12">
    <w:abstractNumId w:val="761430"/>
  </w:num>
  <w:num w:numId="13">
    <w:abstractNumId w:val="761431"/>
  </w:num>
  <w:num w:numId="14">
    <w:abstractNumId w:val="761432"/>
  </w:num>
  <w:num w:numId="15">
    <w:abstractNumId w:val="761433"/>
  </w:num>
  <w:num w:numId="16">
    <w:abstractNumId w:val="761434"/>
  </w:num>
  <w:num w:numId="17">
    <w:abstractNumId w:val="761435"/>
  </w:num>
  <w:num w:numId="18">
    <w:abstractNumId w:val="761436"/>
  </w:num>
  <w:num w:numId="19">
    <w:abstractNumId w:val="761437"/>
  </w:num>
  <w:num w:numId="20">
    <w:abstractNumId w:val="761438"/>
  </w:num>
  <w:num w:numId="21">
    <w:abstractNumId w:val="761439"/>
  </w:num>
  <w:num w:numId="22">
    <w:abstractNumId w:val="761440"/>
  </w:num>
  <w:num w:numId="23">
    <w:abstractNumId w:val="761441"/>
  </w:num>
  <w:num w:numId="24">
    <w:abstractNumId w:val="761442"/>
  </w:num>
  <w:num w:numId="25">
    <w:abstractNumId w:val="761443"/>
  </w:num>
  <w:num w:numId="26">
    <w:abstractNumId w:val="761444"/>
  </w:num>
  <w:num w:numId="27">
    <w:abstractNumId w:val="761445"/>
  </w:num>
  <w:num w:numId="28">
    <w:abstractNumId w:val="761446"/>
  </w:num>
  <w:num w:numId="29">
    <w:abstractNumId w:val="761447"/>
  </w:num>
  <w:num w:numId="30">
    <w:abstractNumId w:val="761448"/>
  </w:num>
  <w:num w:numId="31">
    <w:abstractNumId w:val="761449"/>
  </w:num>
  <w:num w:numId="32">
    <w:abstractNumId w:val="761450"/>
  </w:num>
  <w:num w:numId="33">
    <w:abstractNumId w:val="7614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2026-05-28T09:06:56Z</dcterms:created>
  <dc:creator>Apache POI</dc:creator>
</cp:coreProperties>
</file>