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ASIL Classification Standard</w:t>
      </w:r>
    </w:p>
    <w:p>
      <w:r>
        <w:rPr>
          <w:i/>
          <w:color w:val="555555"/>
          <w:sz w:val="22"/>
        </w:rPr>
        <w:t>ISO 26262-3 Severity (S) · Exposure (E) · Controllability (C) — and worked ACC / HA-LCA / VDD classification</w:t>
      </w:r>
    </w:p>
    <w:p>
      <w:r>
        <w:rPr>
          <w:b w:val="0"/>
        </w:rPr>
        <w:t>Automotive Safety Integrity Level (ASIL) is derived per ISO 26262-3 from three risk parameters — Severity (S), Exposure (E), and Controllability (C) — assessed for each hazardous event at the vehicle level, then allocated down to the software requirements that implement the associated safety function. Not every feature is safety-related: functions with no credible hazard path (e.g. a display-mode arbitration block) are classified QM (Quality Managed) rather than assigned an ASIL.</w:t>
      </w:r>
    </w:p>
    <w:p>
      <w:pPr>
        <w:pStyle w:val="Heading1"/>
      </w:pPr>
      <w:r>
        <w:t>1. Severity (S)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79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1152"/>
          </w:tcPr>
          <w:p>
            <w:r>
              <w:t>S0</w:t>
            </w:r>
          </w:p>
        </w:tc>
        <w:tc>
          <w:tcPr>
            <w:tcW w:type="dxa" w:w="7920"/>
          </w:tcPr>
          <w:p>
            <w:r>
              <w:t>No injuries</w:t>
            </w:r>
          </w:p>
        </w:tc>
      </w:tr>
      <w:tr>
        <w:tc>
          <w:tcPr>
            <w:tcW w:type="dxa" w:w="1152"/>
          </w:tcPr>
          <w:p>
            <w:r>
              <w:t>S1</w:t>
            </w:r>
          </w:p>
        </w:tc>
        <w:tc>
          <w:tcPr>
            <w:tcW w:type="dxa" w:w="7920"/>
          </w:tcPr>
          <w:p>
            <w:r>
              <w:t>Light to moderate injuries</w:t>
            </w:r>
          </w:p>
        </w:tc>
      </w:tr>
      <w:tr>
        <w:tc>
          <w:tcPr>
            <w:tcW w:type="dxa" w:w="1152"/>
          </w:tcPr>
          <w:p>
            <w:r>
              <w:t>S2</w:t>
            </w:r>
          </w:p>
        </w:tc>
        <w:tc>
          <w:tcPr>
            <w:tcW w:type="dxa" w:w="7920"/>
          </w:tcPr>
          <w:p>
            <w:r>
              <w:t>Severe to life-threatening injuries (survival probable)</w:t>
            </w:r>
          </w:p>
        </w:tc>
      </w:tr>
      <w:tr>
        <w:tc>
          <w:tcPr>
            <w:tcW w:type="dxa" w:w="1152"/>
          </w:tcPr>
          <w:p>
            <w:r>
              <w:t>S3</w:t>
            </w:r>
          </w:p>
        </w:tc>
        <w:tc>
          <w:tcPr>
            <w:tcW w:type="dxa" w:w="7920"/>
          </w:tcPr>
          <w:p>
            <w:r>
              <w:t>Life-threatening to fatal injuries (survival uncertain / fatal)</w:t>
            </w:r>
          </w:p>
        </w:tc>
      </w:tr>
    </w:tbl>
    <w:p>
      <w:pPr>
        <w:pStyle w:val="Heading1"/>
      </w:pPr>
      <w:r>
        <w:t>2. Exposure (E)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79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1152"/>
          </w:tcPr>
          <w:p>
            <w:r>
              <w:t>E0</w:t>
            </w:r>
          </w:p>
        </w:tc>
        <w:tc>
          <w:tcPr>
            <w:tcW w:type="dxa" w:w="7920"/>
          </w:tcPr>
          <w:p>
            <w:r>
              <w:t>Incredible</w:t>
            </w:r>
          </w:p>
        </w:tc>
      </w:tr>
      <w:tr>
        <w:tc>
          <w:tcPr>
            <w:tcW w:type="dxa" w:w="1152"/>
          </w:tcPr>
          <w:p>
            <w:r>
              <w:t>E1</w:t>
            </w:r>
          </w:p>
        </w:tc>
        <w:tc>
          <w:tcPr>
            <w:tcW w:type="dxa" w:w="7920"/>
          </w:tcPr>
          <w:p>
            <w:r>
              <w:t>Very low probability (&lt; 1% of operating time)</w:t>
            </w:r>
          </w:p>
        </w:tc>
      </w:tr>
      <w:tr>
        <w:tc>
          <w:tcPr>
            <w:tcW w:type="dxa" w:w="1152"/>
          </w:tcPr>
          <w:p>
            <w:r>
              <w:t>E2</w:t>
            </w:r>
          </w:p>
        </w:tc>
        <w:tc>
          <w:tcPr>
            <w:tcW w:type="dxa" w:w="7920"/>
          </w:tcPr>
          <w:p>
            <w:r>
              <w:t>Low probability</w:t>
            </w:r>
          </w:p>
        </w:tc>
      </w:tr>
      <w:tr>
        <w:tc>
          <w:tcPr>
            <w:tcW w:type="dxa" w:w="1152"/>
          </w:tcPr>
          <w:p>
            <w:r>
              <w:t>E3</w:t>
            </w:r>
          </w:p>
        </w:tc>
        <w:tc>
          <w:tcPr>
            <w:tcW w:type="dxa" w:w="7920"/>
          </w:tcPr>
          <w:p>
            <w:r>
              <w:t>Medium probability</w:t>
            </w:r>
          </w:p>
        </w:tc>
      </w:tr>
      <w:tr>
        <w:tc>
          <w:tcPr>
            <w:tcW w:type="dxa" w:w="1152"/>
          </w:tcPr>
          <w:p>
            <w:r>
              <w:t>E4</w:t>
            </w:r>
          </w:p>
        </w:tc>
        <w:tc>
          <w:tcPr>
            <w:tcW w:type="dxa" w:w="7920"/>
          </w:tcPr>
          <w:p>
            <w:r>
              <w:t>High probability (default operating condition)</w:t>
            </w:r>
          </w:p>
        </w:tc>
      </w:tr>
    </w:tbl>
    <w:p>
      <w:pPr>
        <w:pStyle w:val="Heading1"/>
      </w:pPr>
      <w:r>
        <w:t>3. Controllability (C)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79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1152"/>
          </w:tcPr>
          <w:p>
            <w:r>
              <w:t>C0</w:t>
            </w:r>
          </w:p>
        </w:tc>
        <w:tc>
          <w:tcPr>
            <w:tcW w:type="dxa" w:w="7920"/>
          </w:tcPr>
          <w:p>
            <w:r>
              <w:t>Controllable in general</w:t>
            </w:r>
          </w:p>
        </w:tc>
      </w:tr>
      <w:tr>
        <w:tc>
          <w:tcPr>
            <w:tcW w:type="dxa" w:w="1152"/>
          </w:tcPr>
          <w:p>
            <w:r>
              <w:t>C1</w:t>
            </w:r>
          </w:p>
        </w:tc>
        <w:tc>
          <w:tcPr>
            <w:tcW w:type="dxa" w:w="7920"/>
          </w:tcPr>
          <w:p>
            <w:r>
              <w:t>Simply controllable (≥ 99% of drivers/situations)</w:t>
            </w:r>
          </w:p>
        </w:tc>
      </w:tr>
      <w:tr>
        <w:tc>
          <w:tcPr>
            <w:tcW w:type="dxa" w:w="1152"/>
          </w:tcPr>
          <w:p>
            <w:r>
              <w:t>C2</w:t>
            </w:r>
          </w:p>
        </w:tc>
        <w:tc>
          <w:tcPr>
            <w:tcW w:type="dxa" w:w="7920"/>
          </w:tcPr>
          <w:p>
            <w:r>
              <w:t>Normally controllable (90–99%)</w:t>
            </w:r>
          </w:p>
        </w:tc>
      </w:tr>
      <w:tr>
        <w:tc>
          <w:tcPr>
            <w:tcW w:type="dxa" w:w="1152"/>
          </w:tcPr>
          <w:p>
            <w:r>
              <w:t>C3</w:t>
            </w:r>
          </w:p>
        </w:tc>
        <w:tc>
          <w:tcPr>
            <w:tcW w:type="dxa" w:w="7920"/>
          </w:tcPr>
          <w:p>
            <w:r>
              <w:t>Difficult to control or uncontrollable (&lt; 90%)</w:t>
            </w:r>
          </w:p>
        </w:tc>
      </w:tr>
    </w:tbl>
    <w:p>
      <w:pPr>
        <w:pStyle w:val="Heading1"/>
      </w:pPr>
      <w:r>
        <w:t>4. ASIL Determination (ISO 26262-3, Table 4 — condensed)</w:t>
      </w:r>
    </w:p>
    <w:p>
      <w:r>
        <w:rPr>
          <w:b w:val="0"/>
        </w:rPr>
        <w:t>QM = Quality Managed (no ASIL). A is the lowest safety integrity level, D the highest.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</w:rPr>
              <w:t>S</w:t>
            </w:r>
          </w:p>
        </w:tc>
        <w:tc>
          <w:tcPr>
            <w:tcW w:type="dxa" w:w="665"/>
          </w:tcPr>
          <w:p>
            <w:r>
              <w:rPr>
                <w:b/>
              </w:rPr>
              <w:t>C1/E1</w:t>
            </w:r>
          </w:p>
        </w:tc>
        <w:tc>
          <w:tcPr>
            <w:tcW w:type="dxa" w:w="665"/>
          </w:tcPr>
          <w:p>
            <w:r>
              <w:rPr>
                <w:b/>
              </w:rPr>
              <w:t>C1/E2</w:t>
            </w:r>
          </w:p>
        </w:tc>
        <w:tc>
          <w:tcPr>
            <w:tcW w:type="dxa" w:w="665"/>
          </w:tcPr>
          <w:p>
            <w:r>
              <w:rPr>
                <w:b/>
              </w:rPr>
              <w:t>C1/E3</w:t>
            </w:r>
          </w:p>
        </w:tc>
        <w:tc>
          <w:tcPr>
            <w:tcW w:type="dxa" w:w="665"/>
          </w:tcPr>
          <w:p>
            <w:r>
              <w:rPr>
                <w:b/>
              </w:rPr>
              <w:t>C1/E4</w:t>
            </w:r>
          </w:p>
        </w:tc>
        <w:tc>
          <w:tcPr>
            <w:tcW w:type="dxa" w:w="665"/>
          </w:tcPr>
          <w:p>
            <w:r>
              <w:rPr>
                <w:b/>
              </w:rPr>
              <w:t>C2/E1</w:t>
            </w:r>
          </w:p>
        </w:tc>
        <w:tc>
          <w:tcPr>
            <w:tcW w:type="dxa" w:w="665"/>
          </w:tcPr>
          <w:p>
            <w:r>
              <w:rPr>
                <w:b/>
              </w:rPr>
              <w:t>C2/E2</w:t>
            </w:r>
          </w:p>
        </w:tc>
        <w:tc>
          <w:tcPr>
            <w:tcW w:type="dxa" w:w="665"/>
          </w:tcPr>
          <w:p>
            <w:r>
              <w:rPr>
                <w:b/>
              </w:rPr>
              <w:t>C2/E3</w:t>
            </w:r>
          </w:p>
        </w:tc>
        <w:tc>
          <w:tcPr>
            <w:tcW w:type="dxa" w:w="665"/>
          </w:tcPr>
          <w:p>
            <w:r>
              <w:rPr>
                <w:b/>
              </w:rPr>
              <w:t>C2/E4</w:t>
            </w:r>
          </w:p>
        </w:tc>
        <w:tc>
          <w:tcPr>
            <w:tcW w:type="dxa" w:w="665"/>
          </w:tcPr>
          <w:p>
            <w:r>
              <w:rPr>
                <w:b/>
              </w:rPr>
              <w:t>C3/E1</w:t>
            </w:r>
          </w:p>
        </w:tc>
        <w:tc>
          <w:tcPr>
            <w:tcW w:type="dxa" w:w="665"/>
          </w:tcPr>
          <w:p>
            <w:r>
              <w:rPr>
                <w:b/>
              </w:rPr>
              <w:t>C3/E2</w:t>
            </w:r>
          </w:p>
        </w:tc>
        <w:tc>
          <w:tcPr>
            <w:tcW w:type="dxa" w:w="665"/>
          </w:tcPr>
          <w:p>
            <w:r>
              <w:rPr>
                <w:b/>
              </w:rPr>
              <w:t>C3/E3</w:t>
            </w:r>
          </w:p>
        </w:tc>
        <w:tc>
          <w:tcPr>
            <w:tcW w:type="dxa" w:w="665"/>
          </w:tcPr>
          <w:p>
            <w:r>
              <w:rPr>
                <w:b/>
              </w:rPr>
              <w:t>C3/E4</w:t>
            </w:r>
          </w:p>
        </w:tc>
      </w:tr>
      <w:tr>
        <w:tc>
          <w:tcPr>
            <w:tcW w:type="dxa" w:w="665"/>
          </w:tcPr>
          <w:p>
            <w:r>
              <w:t>S1</w:t>
            </w:r>
          </w:p>
        </w:tc>
        <w:tc>
          <w:tcPr>
            <w:tcW w:type="dxa" w:w="665"/>
          </w:tcPr>
          <w:p>
            <w:r>
              <w:t>QM</w:t>
            </w:r>
          </w:p>
        </w:tc>
        <w:tc>
          <w:tcPr>
            <w:tcW w:type="dxa" w:w="665"/>
          </w:tcPr>
          <w:p>
            <w:r>
              <w:t>QM</w:t>
            </w:r>
          </w:p>
        </w:tc>
        <w:tc>
          <w:tcPr>
            <w:tcW w:type="dxa" w:w="665"/>
          </w:tcPr>
          <w:p>
            <w:r>
              <w:t>QM</w:t>
            </w:r>
          </w:p>
        </w:tc>
        <w:tc>
          <w:tcPr>
            <w:tcW w:type="dxa" w:w="665"/>
          </w:tcPr>
          <w:p>
            <w:r>
              <w:t>QM</w:t>
            </w:r>
          </w:p>
        </w:tc>
        <w:tc>
          <w:tcPr>
            <w:tcW w:type="dxa" w:w="665"/>
          </w:tcPr>
          <w:p>
            <w:r>
              <w:t>QM</w:t>
            </w:r>
          </w:p>
        </w:tc>
        <w:tc>
          <w:tcPr>
            <w:tcW w:type="dxa" w:w="665"/>
          </w:tcPr>
          <w:p>
            <w:r>
              <w:t>QM</w:t>
            </w:r>
          </w:p>
        </w:tc>
        <w:tc>
          <w:tcPr>
            <w:tcW w:type="dxa" w:w="665"/>
          </w:tcPr>
          <w:p>
            <w:r>
              <w:t>QM</w:t>
            </w:r>
          </w:p>
        </w:tc>
        <w:tc>
          <w:tcPr>
            <w:tcW w:type="dxa" w:w="665"/>
          </w:tcPr>
          <w:p>
            <w:r>
              <w:t>A</w:t>
            </w:r>
          </w:p>
        </w:tc>
        <w:tc>
          <w:tcPr>
            <w:tcW w:type="dxa" w:w="665"/>
          </w:tcPr>
          <w:p>
            <w:r>
              <w:t>QM</w:t>
            </w:r>
          </w:p>
        </w:tc>
        <w:tc>
          <w:tcPr>
            <w:tcW w:type="dxa" w:w="665"/>
          </w:tcPr>
          <w:p>
            <w:r>
              <w:t>QM</w:t>
            </w:r>
          </w:p>
        </w:tc>
        <w:tc>
          <w:tcPr>
            <w:tcW w:type="dxa" w:w="665"/>
          </w:tcPr>
          <w:p>
            <w:r>
              <w:t>A</w:t>
            </w:r>
          </w:p>
        </w:tc>
        <w:tc>
          <w:tcPr>
            <w:tcW w:type="dxa" w:w="665"/>
          </w:tcPr>
          <w:p>
            <w:r>
              <w:t>B</w:t>
            </w:r>
          </w:p>
        </w:tc>
      </w:tr>
      <w:tr>
        <w:tc>
          <w:tcPr>
            <w:tcW w:type="dxa" w:w="665"/>
          </w:tcPr>
          <w:p>
            <w:r>
              <w:t>S2</w:t>
            </w:r>
          </w:p>
        </w:tc>
        <w:tc>
          <w:tcPr>
            <w:tcW w:type="dxa" w:w="665"/>
          </w:tcPr>
          <w:p>
            <w:r>
              <w:t>QM</w:t>
            </w:r>
          </w:p>
        </w:tc>
        <w:tc>
          <w:tcPr>
            <w:tcW w:type="dxa" w:w="665"/>
          </w:tcPr>
          <w:p>
            <w:r>
              <w:t>QM</w:t>
            </w:r>
          </w:p>
        </w:tc>
        <w:tc>
          <w:tcPr>
            <w:tcW w:type="dxa" w:w="665"/>
          </w:tcPr>
          <w:p>
            <w:r>
              <w:t>QM</w:t>
            </w:r>
          </w:p>
        </w:tc>
        <w:tc>
          <w:tcPr>
            <w:tcW w:type="dxa" w:w="665"/>
          </w:tcPr>
          <w:p>
            <w:r>
              <w:t>A</w:t>
            </w:r>
          </w:p>
        </w:tc>
        <w:tc>
          <w:tcPr>
            <w:tcW w:type="dxa" w:w="665"/>
          </w:tcPr>
          <w:p>
            <w:r>
              <w:t>QM</w:t>
            </w:r>
          </w:p>
        </w:tc>
        <w:tc>
          <w:tcPr>
            <w:tcW w:type="dxa" w:w="665"/>
          </w:tcPr>
          <w:p>
            <w:r>
              <w:t>QM</w:t>
            </w:r>
          </w:p>
        </w:tc>
        <w:tc>
          <w:tcPr>
            <w:tcW w:type="dxa" w:w="665"/>
          </w:tcPr>
          <w:p>
            <w:r>
              <w:t>A</w:t>
            </w:r>
          </w:p>
        </w:tc>
        <w:tc>
          <w:tcPr>
            <w:tcW w:type="dxa" w:w="665"/>
          </w:tcPr>
          <w:p>
            <w:r>
              <w:t>B</w:t>
            </w:r>
          </w:p>
        </w:tc>
        <w:tc>
          <w:tcPr>
            <w:tcW w:type="dxa" w:w="665"/>
          </w:tcPr>
          <w:p>
            <w:r>
              <w:t>QM</w:t>
            </w:r>
          </w:p>
        </w:tc>
        <w:tc>
          <w:tcPr>
            <w:tcW w:type="dxa" w:w="665"/>
          </w:tcPr>
          <w:p>
            <w:r>
              <w:t>A</w:t>
            </w:r>
          </w:p>
        </w:tc>
        <w:tc>
          <w:tcPr>
            <w:tcW w:type="dxa" w:w="665"/>
          </w:tcPr>
          <w:p>
            <w:r>
              <w:t>B</w:t>
            </w:r>
          </w:p>
        </w:tc>
        <w:tc>
          <w:tcPr>
            <w:tcW w:type="dxa" w:w="665"/>
          </w:tcPr>
          <w:p>
            <w:r>
              <w:t>C</w:t>
            </w:r>
          </w:p>
        </w:tc>
      </w:tr>
      <w:tr>
        <w:tc>
          <w:tcPr>
            <w:tcW w:type="dxa" w:w="665"/>
          </w:tcPr>
          <w:p>
            <w:r>
              <w:t>S3</w:t>
            </w:r>
          </w:p>
        </w:tc>
        <w:tc>
          <w:tcPr>
            <w:tcW w:type="dxa" w:w="665"/>
          </w:tcPr>
          <w:p>
            <w:r>
              <w:t>QM</w:t>
            </w:r>
          </w:p>
        </w:tc>
        <w:tc>
          <w:tcPr>
            <w:tcW w:type="dxa" w:w="665"/>
          </w:tcPr>
          <w:p>
            <w:r>
              <w:t>QM</w:t>
            </w:r>
          </w:p>
        </w:tc>
        <w:tc>
          <w:tcPr>
            <w:tcW w:type="dxa" w:w="665"/>
          </w:tcPr>
          <w:p>
            <w:r>
              <w:t>A</w:t>
            </w:r>
          </w:p>
        </w:tc>
        <w:tc>
          <w:tcPr>
            <w:tcW w:type="dxa" w:w="665"/>
          </w:tcPr>
          <w:p>
            <w:r>
              <w:t>B</w:t>
            </w:r>
          </w:p>
        </w:tc>
        <w:tc>
          <w:tcPr>
            <w:tcW w:type="dxa" w:w="665"/>
          </w:tcPr>
          <w:p>
            <w:r>
              <w:t>QM</w:t>
            </w:r>
          </w:p>
        </w:tc>
        <w:tc>
          <w:tcPr>
            <w:tcW w:type="dxa" w:w="665"/>
          </w:tcPr>
          <w:p>
            <w:r>
              <w:t>A</w:t>
            </w:r>
          </w:p>
        </w:tc>
        <w:tc>
          <w:tcPr>
            <w:tcW w:type="dxa" w:w="665"/>
          </w:tcPr>
          <w:p>
            <w:r>
              <w:t>B</w:t>
            </w:r>
          </w:p>
        </w:tc>
        <w:tc>
          <w:tcPr>
            <w:tcW w:type="dxa" w:w="665"/>
          </w:tcPr>
          <w:p>
            <w:r>
              <w:t>C</w:t>
            </w:r>
          </w:p>
        </w:tc>
        <w:tc>
          <w:tcPr>
            <w:tcW w:type="dxa" w:w="665"/>
          </w:tcPr>
          <w:p>
            <w:r>
              <w:t>A</w:t>
            </w:r>
          </w:p>
        </w:tc>
        <w:tc>
          <w:tcPr>
            <w:tcW w:type="dxa" w:w="665"/>
          </w:tcPr>
          <w:p>
            <w:r>
              <w:t>B</w:t>
            </w:r>
          </w:p>
        </w:tc>
        <w:tc>
          <w:tcPr>
            <w:tcW w:type="dxa" w:w="665"/>
          </w:tcPr>
          <w:p>
            <w:r>
              <w:t>C</w:t>
            </w:r>
          </w:p>
        </w:tc>
        <w:tc>
          <w:tcPr>
            <w:tcW w:type="dxa" w:w="665"/>
          </w:tcPr>
          <w:p>
            <w:r>
              <w:t>D</w:t>
            </w:r>
          </w:p>
        </w:tc>
      </w:tr>
    </w:tbl>
    <w:p>
      <w:pPr>
        <w:pStyle w:val="Heading1"/>
      </w:pPr>
      <w:r>
        <w:t>5. Worked Classification — ACC vs. HA-LCA vs. VDD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304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584"/>
          </w:tcPr>
          <w:p>
            <w:r>
              <w:rPr>
                <w:b/>
              </w:rPr>
              <w:t>Exposure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Controllability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ASIL / QM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304"/>
          </w:tcPr>
          <w:p>
            <w:r>
              <w:t>ACC – Longitudinal Speed/Gap Control</w:t>
            </w:r>
          </w:p>
        </w:tc>
        <w:tc>
          <w:tcPr>
            <w:tcW w:type="dxa" w:w="1584"/>
          </w:tcPr>
          <w:p>
            <w:r>
              <w:t>S2 (rear-end collision at moderate closing speed)</w:t>
            </w:r>
          </w:p>
        </w:tc>
        <w:tc>
          <w:tcPr>
            <w:tcW w:type="dxa" w:w="1584"/>
          </w:tcPr>
          <w:p>
            <w:r>
              <w:t>E4 (active on every ACC-enabled drive)</w:t>
            </w:r>
          </w:p>
        </w:tc>
        <w:tc>
          <w:tcPr>
            <w:tcW w:type="dxa" w:w="1728"/>
          </w:tcPr>
          <w:p>
            <w:r>
              <w:t>C2 (driver can brake/override within reaction time)</w:t>
            </w:r>
          </w:p>
        </w:tc>
        <w:tc>
          <w:tcPr>
            <w:tcW w:type="dxa" w:w="1008"/>
          </w:tcPr>
          <w:p>
            <w:r>
              <w:t>ASIL B</w:t>
            </w:r>
          </w:p>
        </w:tc>
        <w:tc>
          <w:tcPr>
            <w:tcW w:type="dxa" w:w="2880"/>
          </w:tcPr>
          <w:p>
            <w:r>
              <w:t>Comfort-only functions (REQ-ACC-001, 002) may be QM; gap-maintenance torque/brake requests (REQ-ACC-003, 004) carry the ASIL B allocation.</w:t>
            </w:r>
          </w:p>
        </w:tc>
      </w:tr>
      <w:tr>
        <w:tc>
          <w:tcPr>
            <w:tcW w:type="dxa" w:w="2304"/>
          </w:tcPr>
          <w:p>
            <w:r>
              <w:t>HA-LCA – Highway/Lane Display Mode Arbitration</w:t>
            </w:r>
          </w:p>
        </w:tc>
        <w:tc>
          <w:tcPr>
            <w:tcW w:type="dxa" w:w="1584"/>
          </w:tcPr>
          <w:p>
            <w:r>
              <w:t>S0 (no direct actuation — display/indicator output only)</w:t>
            </w:r>
          </w:p>
        </w:tc>
        <w:tc>
          <w:tcPr>
            <w:tcW w:type="dxa" w:w="1584"/>
          </w:tcPr>
          <w:p>
            <w:r>
              <w:t>E4 (evaluated continuously during Highway Assist/Lane Change operation)</w:t>
            </w:r>
          </w:p>
        </w:tc>
        <w:tc>
          <w:tcPr>
            <w:tcW w:type="dxa" w:w="1728"/>
          </w:tcPr>
          <w:p>
            <w:r>
              <w:t>C0 (no driver action required or affected by this logic in isolation)</w:t>
            </w:r>
          </w:p>
        </w:tc>
        <w:tc>
          <w:tcPr>
            <w:tcW w:type="dxa" w:w="1008"/>
          </w:tcPr>
          <w:p>
            <w:r>
              <w:t>QM</w:t>
            </w:r>
          </w:p>
        </w:tc>
        <w:tc>
          <w:tcPr>
            <w:tcW w:type="dxa" w:w="2880"/>
          </w:tcPr>
          <w:p>
            <w:r>
              <w:t>Only arbitrates which display mode value is written to the cluster/HMI; no direct actuation authority. If it later gates or informs a driver-facing lane-change decision, re-assess.</w:t>
            </w:r>
          </w:p>
        </w:tc>
      </w:tr>
      <w:tr>
        <w:tc>
          <w:tcPr>
            <w:tcW w:type="dxa" w:w="2304"/>
          </w:tcPr>
          <w:p>
            <w:r>
              <w:t>VDD – Vehicle Direction Determination</w:t>
            </w:r>
          </w:p>
        </w:tc>
        <w:tc>
          <w:tcPr>
            <w:tcW w:type="dxa" w:w="1584"/>
          </w:tcPr>
          <w:p>
            <w:r>
              <w:t>S0 (advisory indicator only — no actuation)</w:t>
            </w:r>
          </w:p>
        </w:tc>
        <w:tc>
          <w:tcPr>
            <w:tcW w:type="dxa" w:w="1584"/>
          </w:tcPr>
          <w:p>
            <w:r>
              <w:t>E4 (evaluated continuously while driving)</w:t>
            </w:r>
          </w:p>
        </w:tc>
        <w:tc>
          <w:tcPr>
            <w:tcW w:type="dxa" w:w="1728"/>
          </w:tcPr>
          <w:p>
            <w:r>
              <w:t>C0 (informational; driver retains full control regardless of indicator state)</w:t>
            </w:r>
          </w:p>
        </w:tc>
        <w:tc>
          <w:tcPr>
            <w:tcW w:type="dxa" w:w="1008"/>
          </w:tcPr>
          <w:p>
            <w:r>
              <w:t>QM</w:t>
            </w:r>
          </w:p>
        </w:tc>
        <w:tc>
          <w:tcPr>
            <w:tcW w:type="dxa" w:w="2880"/>
          </w:tcPr>
          <w:p>
            <w:r>
              <w:t>As specified, only produces a driver-facing direction indicator from steering yaw + camera confirmation. If later coupled with GPS routing, Lane Detection, or Wrong-Way Detection to gate a warning/intervention, re-assess at that integration point.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